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4D" w:rsidRPr="00C75A3F" w:rsidRDefault="00C6354D" w:rsidP="0088725C">
      <w:pPr>
        <w:jc w:val="center"/>
        <w:rPr>
          <w:b/>
          <w:color w:val="000000"/>
          <w:sz w:val="28"/>
          <w:lang w:val="en-GB"/>
        </w:rPr>
      </w:pPr>
      <w:r>
        <w:rPr>
          <w:noProof/>
          <w:lang w:val="bg-BG" w:eastAsia="bg-BG"/>
        </w:rPr>
        <w:pict>
          <v:line id="_x0000_s1026" style="position:absolute;left:0;text-align:left;z-index:251657728" from="-1.5pt,3.75pt" to="466.5pt,3.8pt" o:allowincell="f" strokecolor="#d4d4d4" strokeweight="1.75pt">
            <v:shadow on="t" origin=",32385f" offset="0,-1pt"/>
          </v:line>
        </w:pict>
      </w:r>
      <w:r w:rsidRPr="00C75A3F">
        <w:rPr>
          <w:b/>
          <w:color w:val="000000"/>
          <w:sz w:val="28"/>
          <w:lang w:val="en-GB"/>
        </w:rPr>
        <w:t>SUPPLY CONTRACT NOTICE</w:t>
      </w:r>
    </w:p>
    <w:p w:rsidR="00C6354D" w:rsidRDefault="00C6354D" w:rsidP="007F260E">
      <w:pPr>
        <w:jc w:val="center"/>
        <w:rPr>
          <w:b/>
          <w:color w:val="000000"/>
          <w:sz w:val="28"/>
          <w:szCs w:val="28"/>
          <w:lang w:val="en-GB"/>
        </w:rPr>
      </w:pPr>
      <w:r>
        <w:rPr>
          <w:b/>
          <w:color w:val="000000"/>
          <w:sz w:val="28"/>
          <w:szCs w:val="28"/>
          <w:lang w:val="en-GB"/>
        </w:rPr>
        <w:t xml:space="preserve">Supply </w:t>
      </w:r>
      <w:r w:rsidRPr="00C75A3F">
        <w:rPr>
          <w:b/>
          <w:color w:val="000000"/>
          <w:sz w:val="28"/>
          <w:szCs w:val="28"/>
          <w:lang w:val="en-GB"/>
        </w:rPr>
        <w:t>wheelie bins</w:t>
      </w:r>
      <w:r>
        <w:rPr>
          <w:b/>
          <w:color w:val="000000"/>
          <w:sz w:val="28"/>
          <w:szCs w:val="28"/>
          <w:lang w:val="en-GB"/>
        </w:rPr>
        <w:t xml:space="preserve"> </w:t>
      </w:r>
    </w:p>
    <w:p w:rsidR="00C6354D" w:rsidRDefault="00C6354D" w:rsidP="007F260E">
      <w:pPr>
        <w:jc w:val="center"/>
        <w:rPr>
          <w:b/>
          <w:color w:val="000000"/>
          <w:sz w:val="28"/>
          <w:szCs w:val="28"/>
          <w:lang w:val="en-GB"/>
        </w:rPr>
      </w:pPr>
    </w:p>
    <w:p w:rsidR="00C6354D" w:rsidRPr="00C75A3F" w:rsidRDefault="00C6354D" w:rsidP="007F260E">
      <w:pPr>
        <w:jc w:val="center"/>
        <w:rPr>
          <w:b/>
          <w:color w:val="000000"/>
          <w:sz w:val="28"/>
          <w:szCs w:val="28"/>
          <w:lang w:val="en-GB"/>
        </w:rPr>
      </w:pPr>
      <w:r>
        <w:rPr>
          <w:b/>
          <w:color w:val="000000"/>
          <w:sz w:val="28"/>
          <w:szCs w:val="28"/>
          <w:lang w:val="en-GB"/>
        </w:rPr>
        <w:t>LOT 2 RE-LAUNCH</w:t>
      </w:r>
    </w:p>
    <w:p w:rsidR="00C6354D" w:rsidRPr="00C75A3F" w:rsidRDefault="00C6354D" w:rsidP="007F260E">
      <w:pPr>
        <w:spacing w:after="600"/>
        <w:jc w:val="center"/>
        <w:rPr>
          <w:rStyle w:val="Strong"/>
          <w:color w:val="000000"/>
          <w:szCs w:val="24"/>
          <w:lang w:val="en-GB"/>
        </w:rPr>
      </w:pPr>
      <w:r w:rsidRPr="00C75A3F">
        <w:rPr>
          <w:rStyle w:val="Strong"/>
          <w:color w:val="000000"/>
          <w:szCs w:val="24"/>
          <w:lang w:val="en-GB"/>
        </w:rPr>
        <w:t>Location – Municipality of Tsarevo, Republic of Bulgaria</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Publication reference</w:t>
      </w:r>
    </w:p>
    <w:p w:rsidR="00C6354D" w:rsidRPr="00C75A3F" w:rsidRDefault="00C6354D" w:rsidP="007F260E">
      <w:pPr>
        <w:pStyle w:val="Blockquote"/>
        <w:tabs>
          <w:tab w:val="left" w:pos="709"/>
        </w:tabs>
        <w:ind w:left="709"/>
        <w:rPr>
          <w:color w:val="000000"/>
          <w:sz w:val="22"/>
          <w:szCs w:val="22"/>
          <w:lang w:val="en-GB"/>
        </w:rPr>
      </w:pPr>
      <w:r w:rsidRPr="00321AA4">
        <w:rPr>
          <w:color w:val="000000"/>
          <w:sz w:val="22"/>
          <w:szCs w:val="22"/>
          <w:lang w:val="en-GB"/>
        </w:rPr>
        <w:t>EuropeAid/134661/D/SUP/BG</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Procedure</w:t>
      </w:r>
    </w:p>
    <w:p w:rsidR="00C6354D" w:rsidRPr="00C75A3F" w:rsidRDefault="00C6354D" w:rsidP="00AF3DC9">
      <w:pPr>
        <w:pStyle w:val="Blockquote"/>
        <w:tabs>
          <w:tab w:val="left" w:pos="709"/>
        </w:tabs>
        <w:ind w:left="709"/>
        <w:rPr>
          <w:color w:val="000000"/>
          <w:sz w:val="22"/>
          <w:szCs w:val="22"/>
          <w:lang w:val="en-GB"/>
        </w:rPr>
      </w:pPr>
      <w:r w:rsidRPr="00C75A3F">
        <w:rPr>
          <w:color w:val="000000"/>
          <w:sz w:val="22"/>
          <w:szCs w:val="22"/>
          <w:lang w:val="en-GB"/>
        </w:rPr>
        <w:t>Open</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Programme</w:t>
      </w:r>
    </w:p>
    <w:p w:rsidR="00C6354D" w:rsidRPr="00C75A3F" w:rsidRDefault="00C6354D" w:rsidP="00AF3DC9">
      <w:pPr>
        <w:pStyle w:val="Blockquote"/>
        <w:tabs>
          <w:tab w:val="left" w:pos="709"/>
        </w:tabs>
        <w:ind w:left="709"/>
        <w:rPr>
          <w:color w:val="000000"/>
          <w:sz w:val="22"/>
          <w:szCs w:val="22"/>
          <w:lang w:val="en-GB"/>
        </w:rPr>
      </w:pPr>
      <w:r w:rsidRPr="00C75A3F">
        <w:rPr>
          <w:rStyle w:val="Emphasis"/>
          <w:i w:val="0"/>
          <w:color w:val="000000"/>
          <w:sz w:val="22"/>
          <w:szCs w:val="22"/>
          <w:lang w:val="fr-FR"/>
        </w:rPr>
        <w:t>Bulgaria – Turkey IPA Cross – Border Cooperation</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Financing</w:t>
      </w:r>
    </w:p>
    <w:p w:rsidR="00C6354D" w:rsidRPr="00C75A3F" w:rsidRDefault="00C6354D" w:rsidP="00AF3DC9">
      <w:pPr>
        <w:pStyle w:val="Blockquote"/>
        <w:tabs>
          <w:tab w:val="left" w:pos="709"/>
        </w:tabs>
        <w:ind w:left="709"/>
        <w:rPr>
          <w:color w:val="000000"/>
          <w:sz w:val="22"/>
          <w:szCs w:val="22"/>
          <w:lang w:val="en-GB"/>
        </w:rPr>
      </w:pPr>
      <w:r w:rsidRPr="00C75A3F">
        <w:rPr>
          <w:color w:val="000000"/>
          <w:sz w:val="22"/>
          <w:szCs w:val="22"/>
          <w:lang w:val="en-GB"/>
        </w:rPr>
        <w:t xml:space="preserve">Budget line 6: Investments, </w:t>
      </w:r>
      <w:r w:rsidRPr="00C75A3F">
        <w:rPr>
          <w:color w:val="000000"/>
        </w:rPr>
        <w:t>under</w:t>
      </w:r>
      <w:r w:rsidRPr="00C75A3F">
        <w:rPr>
          <w:color w:val="000000"/>
          <w:sz w:val="22"/>
          <w:szCs w:val="22"/>
          <w:lang w:val="en-GB"/>
        </w:rPr>
        <w:t xml:space="preserve"> subsidy contract </w:t>
      </w:r>
      <w:r w:rsidRPr="00C75A3F">
        <w:rPr>
          <w:color w:val="000000"/>
          <w:sz w:val="22"/>
          <w:szCs w:val="22"/>
          <w:lang w:val="bg-BG"/>
        </w:rPr>
        <w:t>№</w:t>
      </w:r>
      <w:r w:rsidRPr="00C75A3F">
        <w:rPr>
          <w:color w:val="000000"/>
          <w:sz w:val="22"/>
          <w:szCs w:val="22"/>
        </w:rPr>
        <w:t xml:space="preserve"> RD-02-29-343/13.12.12</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Contracting authority</w:t>
      </w:r>
    </w:p>
    <w:p w:rsidR="00C6354D" w:rsidRPr="00C75A3F" w:rsidRDefault="00C6354D" w:rsidP="007F260E">
      <w:pPr>
        <w:tabs>
          <w:tab w:val="left" w:pos="1134"/>
        </w:tabs>
        <w:snapToGrid w:val="0"/>
        <w:rPr>
          <w:rStyle w:val="Strong"/>
          <w:color w:val="000000"/>
          <w:sz w:val="22"/>
          <w:szCs w:val="22"/>
          <w:lang w:val="en-GB"/>
        </w:rPr>
      </w:pPr>
      <w:r w:rsidRPr="00C75A3F">
        <w:rPr>
          <w:rStyle w:val="Strong"/>
          <w:b w:val="0"/>
          <w:color w:val="000000"/>
          <w:szCs w:val="24"/>
          <w:lang w:val="en-GB"/>
        </w:rPr>
        <w:t xml:space="preserve">            Municipality of Tsarevo, Republic of Bulgaria</w:t>
      </w:r>
    </w:p>
    <w:p w:rsidR="00C6354D" w:rsidRPr="00C75A3F" w:rsidRDefault="00C6354D" w:rsidP="0088725C">
      <w:pPr>
        <w:spacing w:before="400"/>
        <w:ind w:left="357"/>
        <w:jc w:val="center"/>
        <w:rPr>
          <w:rStyle w:val="Strong"/>
          <w:color w:val="000000"/>
          <w:sz w:val="28"/>
          <w:szCs w:val="28"/>
          <w:lang w:val="en-GB"/>
        </w:rPr>
      </w:pPr>
      <w:r>
        <w:rPr>
          <w:noProof/>
          <w:lang w:val="bg-BG" w:eastAsia="bg-BG"/>
        </w:rPr>
        <w:pict>
          <v:line id="_x0000_s1027" style="position:absolute;left:0;text-align:left;z-index:251658752" from="15pt,-5.05pt" to="483pt,-5pt" o:allowincell="f" strokecolor="#d4d4d4" strokeweight="1.75pt">
            <v:shadow on="t" origin=",32385f" offset="0,-1pt"/>
          </v:line>
        </w:pict>
      </w:r>
      <w:r w:rsidRPr="00C75A3F">
        <w:rPr>
          <w:rStyle w:val="Strong"/>
          <w:color w:val="000000"/>
          <w:sz w:val="28"/>
          <w:szCs w:val="28"/>
          <w:lang w:val="en-GB"/>
        </w:rPr>
        <w:t>CONTRACT SPECIFICATIONS</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 xml:space="preserve">Description of the contract </w:t>
      </w:r>
    </w:p>
    <w:p w:rsidR="00C6354D" w:rsidRPr="00C75A3F" w:rsidRDefault="00C6354D" w:rsidP="00C22688">
      <w:pPr>
        <w:pStyle w:val="Blockquote"/>
        <w:jc w:val="both"/>
        <w:rPr>
          <w:color w:val="000000"/>
          <w:sz w:val="22"/>
          <w:szCs w:val="22"/>
          <w:lang w:val="en-GB"/>
        </w:rPr>
      </w:pPr>
      <w:r w:rsidRPr="00C75A3F">
        <w:rPr>
          <w:color w:val="000000"/>
          <w:sz w:val="22"/>
          <w:szCs w:val="22"/>
          <w:lang w:val="en-GB"/>
        </w:rPr>
        <w:t>The current supply contract is an indispensable part of the implementation of project activities by the Municipality of Tsarevo – Project partner in “A Cleaner Future” project, financed by the Bulgaria – Turkey IPA Cross – Border Programme. The Contractor is</w:t>
      </w:r>
      <w:r>
        <w:rPr>
          <w:color w:val="000000"/>
          <w:sz w:val="22"/>
          <w:szCs w:val="22"/>
          <w:lang w:val="en-GB"/>
        </w:rPr>
        <w:t xml:space="preserve"> </w:t>
      </w:r>
      <w:r w:rsidRPr="00C75A3F">
        <w:rPr>
          <w:color w:val="000000"/>
          <w:sz w:val="22"/>
          <w:szCs w:val="22"/>
          <w:lang w:val="en-GB"/>
        </w:rPr>
        <w:t xml:space="preserve">required to deliver </w:t>
      </w:r>
      <w:r>
        <w:rPr>
          <w:color w:val="000000"/>
          <w:sz w:val="22"/>
          <w:szCs w:val="22"/>
          <w:lang w:val="en-GB"/>
        </w:rPr>
        <w:t>220 units of wheelie bins</w:t>
      </w:r>
      <w:r w:rsidRPr="00C75A3F">
        <w:rPr>
          <w:color w:val="000000"/>
          <w:sz w:val="22"/>
          <w:szCs w:val="22"/>
          <w:lang w:val="en-GB"/>
        </w:rPr>
        <w:t xml:space="preserve"> to the Contract Authori</w:t>
      </w:r>
      <w:r>
        <w:rPr>
          <w:color w:val="000000"/>
          <w:sz w:val="22"/>
          <w:szCs w:val="22"/>
          <w:lang w:val="en-GB"/>
        </w:rPr>
        <w:t>ty, the Municipality of Tsarevo</w:t>
      </w:r>
      <w:r w:rsidRPr="00C75A3F">
        <w:rPr>
          <w:color w:val="000000"/>
          <w:sz w:val="22"/>
          <w:szCs w:val="22"/>
          <w:lang w:val="en-GB"/>
        </w:rPr>
        <w:t xml:space="preserve">. The Contractor must comply with the technical specifications. </w:t>
      </w:r>
    </w:p>
    <w:p w:rsidR="00C6354D" w:rsidRPr="00C75A3F" w:rsidRDefault="00C6354D" w:rsidP="00C22688">
      <w:pPr>
        <w:pStyle w:val="Blockquote"/>
        <w:ind w:left="426"/>
        <w:jc w:val="both"/>
        <w:rPr>
          <w:color w:val="000000"/>
          <w:sz w:val="22"/>
          <w:szCs w:val="22"/>
          <w:lang w:val="en-GB"/>
        </w:rPr>
      </w:pPr>
      <w:r w:rsidRPr="00C75A3F">
        <w:rPr>
          <w:color w:val="000000"/>
          <w:sz w:val="22"/>
          <w:szCs w:val="22"/>
          <w:lang w:val="en-GB"/>
        </w:rPr>
        <w:t xml:space="preserve">The Contractor under must deliver DDP to the Contracting Authority within the period of </w:t>
      </w:r>
      <w:r>
        <w:rPr>
          <w:color w:val="000000"/>
          <w:sz w:val="22"/>
          <w:szCs w:val="22"/>
          <w:lang w:val="en-GB"/>
        </w:rPr>
        <w:t>30</w:t>
      </w:r>
      <w:r w:rsidRPr="00C75A3F">
        <w:rPr>
          <w:color w:val="000000"/>
          <w:sz w:val="22"/>
          <w:szCs w:val="22"/>
          <w:lang w:val="en-GB"/>
        </w:rPr>
        <w:t xml:space="preserve"> calendar days “Beaver” Wheelie bins – </w:t>
      </w:r>
      <w:r>
        <w:rPr>
          <w:color w:val="000000"/>
          <w:sz w:val="22"/>
          <w:szCs w:val="22"/>
          <w:lang w:val="en-GB"/>
        </w:rPr>
        <w:t>2</w:t>
      </w:r>
      <w:r w:rsidRPr="00C75A3F">
        <w:rPr>
          <w:color w:val="000000"/>
          <w:sz w:val="22"/>
          <w:szCs w:val="22"/>
          <w:lang w:val="en-GB"/>
        </w:rPr>
        <w:t>20 units, as per technical specifications.</w:t>
      </w:r>
    </w:p>
    <w:p w:rsidR="00C6354D" w:rsidRPr="00C75A3F" w:rsidRDefault="00C6354D" w:rsidP="00AF3DC9">
      <w:pPr>
        <w:numPr>
          <w:ilvl w:val="0"/>
          <w:numId w:val="35"/>
        </w:numPr>
        <w:tabs>
          <w:tab w:val="clear" w:pos="644"/>
          <w:tab w:val="num" w:pos="709"/>
        </w:tabs>
        <w:ind w:left="709"/>
        <w:outlineLvl w:val="0"/>
        <w:rPr>
          <w:rStyle w:val="Strong"/>
          <w:color w:val="000000"/>
          <w:szCs w:val="24"/>
          <w:lang w:val="en-GB"/>
        </w:rPr>
      </w:pPr>
      <w:r w:rsidRPr="00C75A3F">
        <w:rPr>
          <w:rStyle w:val="Strong"/>
          <w:color w:val="000000"/>
          <w:szCs w:val="24"/>
          <w:lang w:val="en-GB"/>
        </w:rPr>
        <w:t>Number and titles of lots</w:t>
      </w:r>
    </w:p>
    <w:p w:rsidR="00C6354D" w:rsidRPr="00C75A3F" w:rsidRDefault="00C6354D" w:rsidP="005400B1">
      <w:pPr>
        <w:ind w:left="709" w:hanging="349"/>
        <w:outlineLvl w:val="0"/>
        <w:rPr>
          <w:rStyle w:val="Emphasis"/>
          <w:i w:val="0"/>
          <w:color w:val="000000"/>
          <w:sz w:val="22"/>
          <w:szCs w:val="22"/>
          <w:lang w:val="en-GB"/>
        </w:rPr>
      </w:pPr>
      <w:r>
        <w:rPr>
          <w:rStyle w:val="Emphasis"/>
          <w:i w:val="0"/>
          <w:color w:val="000000"/>
          <w:sz w:val="22"/>
          <w:szCs w:val="22"/>
          <w:lang w:val="en-GB"/>
        </w:rPr>
        <w:t>Re-launch</w:t>
      </w:r>
      <w:r w:rsidRPr="00C75A3F">
        <w:rPr>
          <w:rStyle w:val="Emphasis"/>
          <w:i w:val="0"/>
          <w:color w:val="000000"/>
          <w:sz w:val="22"/>
          <w:szCs w:val="22"/>
          <w:lang w:val="en-GB"/>
        </w:rPr>
        <w:t xml:space="preserve"> </w:t>
      </w:r>
      <w:r>
        <w:rPr>
          <w:rStyle w:val="Emphasis"/>
          <w:i w:val="0"/>
          <w:color w:val="000000"/>
          <w:sz w:val="22"/>
          <w:szCs w:val="22"/>
          <w:lang w:val="en-GB"/>
        </w:rPr>
        <w:t xml:space="preserve">of </w:t>
      </w:r>
      <w:r w:rsidRPr="00C75A3F">
        <w:rPr>
          <w:rStyle w:val="Emphasis"/>
          <w:i w:val="0"/>
          <w:color w:val="000000"/>
          <w:sz w:val="22"/>
          <w:szCs w:val="22"/>
          <w:lang w:val="en-GB"/>
        </w:rPr>
        <w:t>LOT 2</w:t>
      </w:r>
      <w:r>
        <w:rPr>
          <w:rStyle w:val="Emphasis"/>
          <w:i w:val="0"/>
          <w:color w:val="000000"/>
          <w:sz w:val="22"/>
          <w:szCs w:val="22"/>
          <w:lang w:val="en-GB"/>
        </w:rPr>
        <w:t xml:space="preserve">: </w:t>
      </w:r>
      <w:r w:rsidRPr="00C75A3F">
        <w:rPr>
          <w:rStyle w:val="Emphasis"/>
          <w:i w:val="0"/>
          <w:color w:val="000000"/>
          <w:sz w:val="22"/>
          <w:szCs w:val="22"/>
          <w:lang w:val="en-GB"/>
        </w:rPr>
        <w:t xml:space="preserve">Wheelie bins – </w:t>
      </w:r>
      <w:r>
        <w:rPr>
          <w:rStyle w:val="Emphasis"/>
          <w:i w:val="0"/>
          <w:color w:val="000000"/>
          <w:sz w:val="22"/>
          <w:szCs w:val="22"/>
          <w:lang w:val="en-GB"/>
        </w:rPr>
        <w:t>2</w:t>
      </w:r>
      <w:r w:rsidRPr="00C75A3F">
        <w:rPr>
          <w:rStyle w:val="Emphasis"/>
          <w:i w:val="0"/>
          <w:color w:val="000000"/>
          <w:sz w:val="22"/>
          <w:szCs w:val="22"/>
          <w:lang w:val="en-GB"/>
        </w:rPr>
        <w:t>20 units.</w:t>
      </w:r>
    </w:p>
    <w:p w:rsidR="00C6354D" w:rsidRPr="00C75A3F" w:rsidRDefault="00C6354D" w:rsidP="0088725C">
      <w:pPr>
        <w:pStyle w:val="Blockquote"/>
        <w:spacing w:before="400"/>
        <w:ind w:left="357" w:right="0"/>
        <w:jc w:val="center"/>
        <w:rPr>
          <w:rStyle w:val="Strong"/>
          <w:color w:val="000000"/>
          <w:sz w:val="28"/>
          <w:szCs w:val="28"/>
          <w:lang w:val="en-GB"/>
        </w:rPr>
      </w:pPr>
      <w:r>
        <w:rPr>
          <w:noProof/>
          <w:lang w:val="bg-BG" w:eastAsia="bg-BG"/>
        </w:rPr>
        <w:pict>
          <v:line id="_x0000_s1028" style="position:absolute;left:0;text-align:left;z-index:251659776" from="15.75pt,14.4pt" to="483.75pt,14.45pt" o:allowincell="f" strokecolor="#d4d4d4" strokeweight="1.75pt">
            <v:shadow on="t" origin=",32385f" offset="0,-1pt"/>
          </v:line>
        </w:pict>
      </w:r>
      <w:r w:rsidRPr="00C75A3F">
        <w:rPr>
          <w:rStyle w:val="Strong"/>
          <w:color w:val="000000"/>
          <w:sz w:val="28"/>
          <w:szCs w:val="28"/>
          <w:lang w:val="en-GB"/>
        </w:rPr>
        <w:t>TERMS OF PARTICIPATION</w:t>
      </w:r>
    </w:p>
    <w:p w:rsidR="00C6354D" w:rsidRPr="00C75A3F" w:rsidRDefault="00C6354D" w:rsidP="00AF3DC9">
      <w:pPr>
        <w:numPr>
          <w:ilvl w:val="0"/>
          <w:numId w:val="35"/>
        </w:numPr>
        <w:tabs>
          <w:tab w:val="clear" w:pos="644"/>
          <w:tab w:val="num" w:pos="709"/>
        </w:tabs>
        <w:ind w:left="709"/>
        <w:outlineLvl w:val="0"/>
        <w:rPr>
          <w:rStyle w:val="Strong"/>
          <w:color w:val="000000"/>
          <w:szCs w:val="24"/>
          <w:lang w:val="en-GB"/>
        </w:rPr>
      </w:pPr>
      <w:r w:rsidRPr="00C75A3F">
        <w:rPr>
          <w:rStyle w:val="Strong"/>
          <w:color w:val="000000"/>
          <w:szCs w:val="24"/>
          <w:lang w:val="en-GB"/>
        </w:rPr>
        <w:t xml:space="preserve">Eligibility and rules of origin </w:t>
      </w:r>
    </w:p>
    <w:p w:rsidR="00C6354D" w:rsidRPr="00C75A3F" w:rsidRDefault="00C6354D" w:rsidP="00AF3DC9">
      <w:pPr>
        <w:pStyle w:val="Blockquote"/>
        <w:ind w:left="709"/>
        <w:jc w:val="both"/>
        <w:rPr>
          <w:color w:val="000000"/>
          <w:sz w:val="22"/>
          <w:szCs w:val="22"/>
          <w:lang w:val="en-GB"/>
        </w:rPr>
      </w:pPr>
      <w:r w:rsidRPr="00C75A3F">
        <w:rPr>
          <w:color w:val="000000"/>
          <w:sz w:val="22"/>
          <w:szCs w:val="22"/>
          <w:lang w:val="en-GB"/>
        </w:rPr>
        <w:t>Participation is open to all legal persons participating either individually or in a grouping (consortium) of tenderers which are established in a Member State of the European Union or in a country or territory of the regions covered and/or authorised by the specific instruments applicable to the programme under which the contract is financed (see item 22 below). All goods supplied under this contract must originate in one or more of these countries. Participation is also open to international organisations. Participation of natural persons is directly governed by the specific instruments applicable to the programme under which the contract is financed.</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Grounds for exclusion</w:t>
      </w:r>
    </w:p>
    <w:p w:rsidR="00C6354D" w:rsidRPr="00C75A3F" w:rsidRDefault="00C6354D" w:rsidP="00AF3DC9">
      <w:pPr>
        <w:pStyle w:val="Blockquote"/>
        <w:ind w:left="709"/>
        <w:jc w:val="both"/>
        <w:rPr>
          <w:b/>
          <w:i/>
          <w:color w:val="000000"/>
          <w:sz w:val="22"/>
          <w:szCs w:val="22"/>
          <w:lang w:val="en-GB"/>
        </w:rPr>
      </w:pPr>
      <w:r w:rsidRPr="00C75A3F">
        <w:rPr>
          <w:color w:val="000000"/>
          <w:sz w:val="22"/>
          <w:szCs w:val="22"/>
          <w:lang w:val="en-GB"/>
        </w:rPr>
        <w:t>Tenderers must submit a signed declaration, included in the Tender Form for a Supply Contract, to the effect that they are not in any of the situations listed in point 2.3.3 of the Practical Guide to contracts procedures for EU external actions.</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Number of tenders</w:t>
      </w:r>
    </w:p>
    <w:p w:rsidR="00C6354D" w:rsidRPr="00C75A3F" w:rsidRDefault="00C6354D" w:rsidP="00AF3DC9">
      <w:pPr>
        <w:pStyle w:val="Blockquote"/>
        <w:ind w:left="709"/>
        <w:jc w:val="both"/>
        <w:rPr>
          <w:color w:val="000000"/>
          <w:sz w:val="22"/>
          <w:szCs w:val="22"/>
          <w:lang w:val="en-GB"/>
        </w:rPr>
      </w:pPr>
      <w:r w:rsidRPr="00C75A3F">
        <w:rPr>
          <w:color w:val="000000"/>
          <w:sz w:val="22"/>
          <w:szCs w:val="22"/>
          <w:lang w:val="en-GB"/>
        </w:rPr>
        <w:t xml:space="preserve">Tenderers may submit only one tender per lot. Tenders for parts of a lot will not be considered. Any tenderer may state in its tender that it would offer a discount in the event that its tender is accepted for more than one lot. Tenderers </w:t>
      </w:r>
      <w:r>
        <w:rPr>
          <w:color w:val="000000"/>
          <w:sz w:val="22"/>
          <w:szCs w:val="22"/>
          <w:lang w:val="en-GB"/>
        </w:rPr>
        <w:t>may not</w:t>
      </w:r>
      <w:r w:rsidRPr="00C75A3F">
        <w:rPr>
          <w:color w:val="000000"/>
          <w:sz w:val="22"/>
          <w:szCs w:val="22"/>
          <w:lang w:val="en-GB"/>
        </w:rPr>
        <w:t xml:space="preserve"> submit a tender for a variant solution in addition to their tender for the supplies required in the tender dossier.</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Tender guarantee</w:t>
      </w:r>
    </w:p>
    <w:p w:rsidR="00C6354D" w:rsidRPr="00C75A3F" w:rsidRDefault="00C6354D" w:rsidP="00AC5464">
      <w:pPr>
        <w:pStyle w:val="Blockquote"/>
        <w:ind w:left="709"/>
        <w:jc w:val="both"/>
        <w:rPr>
          <w:color w:val="000000"/>
          <w:sz w:val="22"/>
          <w:szCs w:val="22"/>
          <w:lang w:val="en-GB"/>
        </w:rPr>
      </w:pPr>
      <w:r w:rsidRPr="00C75A3F">
        <w:rPr>
          <w:color w:val="000000"/>
          <w:sz w:val="22"/>
          <w:szCs w:val="22"/>
          <w:lang w:val="en-GB"/>
        </w:rPr>
        <w:t>Tenderers must</w:t>
      </w:r>
      <w:r>
        <w:rPr>
          <w:color w:val="000000"/>
          <w:sz w:val="22"/>
          <w:szCs w:val="22"/>
          <w:lang w:val="en-GB"/>
        </w:rPr>
        <w:t xml:space="preserve"> provide a tender guarantee of: EUR 560, w</w:t>
      </w:r>
      <w:r w:rsidRPr="00C75A3F">
        <w:rPr>
          <w:color w:val="000000"/>
          <w:sz w:val="22"/>
          <w:szCs w:val="22"/>
          <w:lang w:val="en-GB"/>
        </w:rPr>
        <w:t>hen submitting their tender. This guarantee will be released to unsuccessful tenderers once the tender procedure has been completed and to the successful tenderer(s) upon signature of the contract by all parties. This guarantee will be called upon if the tenderer does not fulfil all obligations stated in its tender.</w:t>
      </w:r>
    </w:p>
    <w:p w:rsidR="00C6354D" w:rsidRPr="00C75A3F" w:rsidRDefault="00C6354D" w:rsidP="000409ED">
      <w:pPr>
        <w:keepNext/>
        <w:keepLines/>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Performance guarantee</w:t>
      </w:r>
    </w:p>
    <w:p w:rsidR="00C6354D" w:rsidRPr="00C75A3F" w:rsidRDefault="00C6354D" w:rsidP="000409ED">
      <w:pPr>
        <w:pStyle w:val="Blockquote"/>
        <w:keepNext/>
        <w:keepLines/>
        <w:ind w:left="709"/>
        <w:jc w:val="both"/>
        <w:rPr>
          <w:color w:val="000000"/>
          <w:sz w:val="22"/>
          <w:szCs w:val="22"/>
          <w:lang w:val="en-GB"/>
        </w:rPr>
      </w:pPr>
      <w:r w:rsidRPr="00C75A3F">
        <w:rPr>
          <w:color w:val="000000"/>
          <w:sz w:val="22"/>
          <w:szCs w:val="22"/>
          <w:lang w:val="en-GB"/>
        </w:rPr>
        <w:t>The successful tenderer will be asked to provide a performance guarantee of 10% 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rsidR="00C6354D" w:rsidRDefault="00C6354D" w:rsidP="00164678">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Inform</w:t>
      </w:r>
      <w:r>
        <w:rPr>
          <w:rStyle w:val="Strong"/>
          <w:color w:val="000000"/>
          <w:szCs w:val="24"/>
          <w:lang w:val="en-GB"/>
        </w:rPr>
        <w:t>ation meeting and/or site visit</w:t>
      </w:r>
    </w:p>
    <w:p w:rsidR="00C6354D" w:rsidRPr="00164678" w:rsidRDefault="00C6354D" w:rsidP="00164678">
      <w:pPr>
        <w:ind w:left="709"/>
        <w:outlineLvl w:val="0"/>
        <w:rPr>
          <w:b/>
          <w:color w:val="000000"/>
          <w:szCs w:val="24"/>
          <w:lang w:val="en-GB"/>
        </w:rPr>
      </w:pPr>
      <w:r w:rsidRPr="00164678">
        <w:rPr>
          <w:color w:val="000000"/>
          <w:sz w:val="22"/>
          <w:szCs w:val="22"/>
          <w:lang w:val="en-GB"/>
        </w:rPr>
        <w:br/>
        <w:t>No information meeting is planned</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Tender validity</w:t>
      </w:r>
    </w:p>
    <w:p w:rsidR="00C6354D" w:rsidRPr="00C75A3F" w:rsidRDefault="00C6354D" w:rsidP="00AF3DC9">
      <w:pPr>
        <w:pStyle w:val="Blockquote"/>
        <w:ind w:left="709"/>
        <w:jc w:val="both"/>
        <w:rPr>
          <w:color w:val="000000"/>
          <w:sz w:val="22"/>
          <w:szCs w:val="22"/>
          <w:lang w:val="en-GB"/>
        </w:rPr>
      </w:pPr>
      <w:r w:rsidRPr="00C75A3F">
        <w:rPr>
          <w:color w:val="000000"/>
          <w:sz w:val="22"/>
          <w:szCs w:val="22"/>
          <w:lang w:val="en-GB"/>
        </w:rPr>
        <w:t>Tenders must remain valid for a period of 90 days after the deadline for submission of tenders.</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Period of implementation of tasks</w:t>
      </w:r>
    </w:p>
    <w:p w:rsidR="00C6354D" w:rsidRPr="00C75A3F" w:rsidRDefault="00C6354D" w:rsidP="00AF3DC9">
      <w:pPr>
        <w:pStyle w:val="Blockquote"/>
        <w:ind w:left="709"/>
        <w:rPr>
          <w:color w:val="000000"/>
          <w:sz w:val="22"/>
          <w:szCs w:val="22"/>
          <w:u w:val="single"/>
          <w:lang w:val="en-GB"/>
        </w:rPr>
      </w:pPr>
      <w:r>
        <w:rPr>
          <w:color w:val="000000"/>
          <w:sz w:val="22"/>
          <w:szCs w:val="22"/>
          <w:u w:val="single"/>
          <w:lang w:val="en-GB"/>
        </w:rPr>
        <w:t>30 days.</w:t>
      </w:r>
    </w:p>
    <w:p w:rsidR="00C6354D" w:rsidRPr="00C75A3F" w:rsidRDefault="00C6354D">
      <w:pPr>
        <w:rPr>
          <w:color w:val="000000"/>
          <w:lang w:val="en-GB"/>
        </w:rPr>
      </w:pPr>
      <w:r>
        <w:rPr>
          <w:noProof/>
          <w:lang w:val="bg-BG" w:eastAsia="bg-BG"/>
        </w:rPr>
        <w:pict>
          <v:line id="_x0000_s1029" style="position:absolute;z-index:251655680" from="0,20.45pt" to="468pt,20.5pt" o:allowincell="f" strokecolor="#d4d4d4" strokeweight="1.75pt">
            <v:shadow on="t" origin=",32385f" offset="0,-1pt"/>
          </v:line>
        </w:pict>
      </w:r>
    </w:p>
    <w:p w:rsidR="00C6354D" w:rsidRPr="00C75A3F" w:rsidRDefault="00C6354D">
      <w:pPr>
        <w:ind w:left="360"/>
        <w:jc w:val="center"/>
        <w:rPr>
          <w:rStyle w:val="Strong"/>
          <w:color w:val="000000"/>
          <w:sz w:val="28"/>
          <w:szCs w:val="28"/>
          <w:lang w:val="en-GB"/>
        </w:rPr>
      </w:pPr>
      <w:r w:rsidRPr="00C75A3F">
        <w:rPr>
          <w:rStyle w:val="Strong"/>
          <w:color w:val="000000"/>
          <w:sz w:val="28"/>
          <w:szCs w:val="28"/>
          <w:lang w:val="en-GB"/>
        </w:rPr>
        <w:t>SELECTION AND AWARD CRITERIA</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 xml:space="preserve">Selection criteria </w:t>
      </w:r>
    </w:p>
    <w:p w:rsidR="00C6354D" w:rsidRPr="00C75A3F" w:rsidRDefault="00C6354D" w:rsidP="00AF3DC9">
      <w:pPr>
        <w:pStyle w:val="Blockquote"/>
        <w:ind w:left="709"/>
        <w:jc w:val="both"/>
        <w:rPr>
          <w:color w:val="000000"/>
          <w:sz w:val="22"/>
          <w:szCs w:val="22"/>
          <w:lang w:val="en-GB"/>
        </w:rPr>
      </w:pPr>
      <w:r w:rsidRPr="00C75A3F">
        <w:rPr>
          <w:color w:val="000000"/>
          <w:sz w:val="22"/>
          <w:szCs w:val="22"/>
          <w:lang w:val="en-GB"/>
        </w:rPr>
        <w:t>The following selection criteria will be applied to tenderers. In the case of tenders submitted by a consortium, these selection criteria will be applied to the consortium as a whole:</w:t>
      </w:r>
    </w:p>
    <w:p w:rsidR="00C6354D" w:rsidRPr="00C75A3F" w:rsidRDefault="00C6354D" w:rsidP="00932B88">
      <w:pPr>
        <w:pStyle w:val="Blockquote"/>
        <w:numPr>
          <w:ilvl w:val="0"/>
          <w:numId w:val="42"/>
        </w:numPr>
        <w:jc w:val="both"/>
        <w:rPr>
          <w:color w:val="000000"/>
          <w:sz w:val="22"/>
          <w:szCs w:val="22"/>
          <w:lang w:val="en-GB"/>
        </w:rPr>
      </w:pPr>
      <w:r w:rsidRPr="00C75A3F">
        <w:rPr>
          <w:color w:val="000000"/>
          <w:sz w:val="22"/>
          <w:szCs w:val="22"/>
          <w:lang w:val="en-GB"/>
        </w:rPr>
        <w:t>Economic and financial capacity of tenderer</w:t>
      </w:r>
      <w:r w:rsidRPr="00C75A3F">
        <w:rPr>
          <w:i/>
          <w:color w:val="000000"/>
          <w:sz w:val="22"/>
          <w:szCs w:val="22"/>
          <w:lang w:val="en-GB"/>
        </w:rPr>
        <w:t xml:space="preserve"> (</w:t>
      </w:r>
      <w:r w:rsidRPr="00C75A3F">
        <w:rPr>
          <w:color w:val="000000"/>
          <w:sz w:val="22"/>
          <w:szCs w:val="22"/>
          <w:lang w:val="en-GB"/>
        </w:rPr>
        <w:t>based on i.a. item 3 of the Tender Form for a Supply Contract). In case of tenderer being a public body, equivalent information should be provided.</w:t>
      </w:r>
    </w:p>
    <w:p w:rsidR="00C6354D" w:rsidRDefault="00C6354D" w:rsidP="00AC5464">
      <w:pPr>
        <w:pStyle w:val="Blockquote"/>
        <w:ind w:left="1069"/>
        <w:jc w:val="both"/>
        <w:rPr>
          <w:color w:val="000000"/>
          <w:sz w:val="22"/>
          <w:szCs w:val="22"/>
          <w:lang w:val="en-GB"/>
        </w:rPr>
      </w:pPr>
      <w:r w:rsidRPr="00C75A3F">
        <w:rPr>
          <w:color w:val="000000"/>
          <w:sz w:val="22"/>
          <w:szCs w:val="22"/>
          <w:lang w:val="en-GB"/>
        </w:rPr>
        <w:t>The average annual turnover of the tenderer for the last three financial years (201</w:t>
      </w:r>
      <w:r>
        <w:rPr>
          <w:color w:val="000000"/>
          <w:sz w:val="22"/>
          <w:szCs w:val="22"/>
          <w:lang w:val="en-GB"/>
        </w:rPr>
        <w:t>1</w:t>
      </w:r>
      <w:r w:rsidRPr="00C75A3F">
        <w:rPr>
          <w:color w:val="000000"/>
          <w:sz w:val="22"/>
          <w:szCs w:val="22"/>
          <w:lang w:val="en-GB"/>
        </w:rPr>
        <w:t>, 201</w:t>
      </w:r>
      <w:r>
        <w:rPr>
          <w:color w:val="000000"/>
          <w:sz w:val="22"/>
          <w:szCs w:val="22"/>
          <w:lang w:val="en-GB"/>
        </w:rPr>
        <w:t>2</w:t>
      </w:r>
      <w:r w:rsidRPr="00C75A3F">
        <w:rPr>
          <w:color w:val="000000"/>
          <w:sz w:val="22"/>
          <w:szCs w:val="22"/>
          <w:lang w:val="en-GB"/>
        </w:rPr>
        <w:t>, 201</w:t>
      </w:r>
      <w:r>
        <w:rPr>
          <w:color w:val="000000"/>
          <w:sz w:val="22"/>
          <w:szCs w:val="22"/>
          <w:lang w:val="en-GB"/>
        </w:rPr>
        <w:t>3</w:t>
      </w:r>
      <w:r w:rsidRPr="00C75A3F">
        <w:rPr>
          <w:color w:val="000000"/>
          <w:sz w:val="22"/>
          <w:szCs w:val="22"/>
          <w:lang w:val="en-GB"/>
        </w:rPr>
        <w:t xml:space="preserve">) must exceed the annualised maximum budget of the contract </w:t>
      </w:r>
      <w:r>
        <w:rPr>
          <w:color w:val="000000"/>
          <w:sz w:val="22"/>
          <w:szCs w:val="22"/>
          <w:lang w:val="en-GB"/>
        </w:rPr>
        <w:t>– 55 660 EUR.</w:t>
      </w:r>
    </w:p>
    <w:p w:rsidR="00C6354D" w:rsidRPr="00AC5464" w:rsidRDefault="00C6354D" w:rsidP="00AC5464">
      <w:pPr>
        <w:pStyle w:val="Blockquote"/>
        <w:ind w:left="1134" w:hanging="425"/>
        <w:jc w:val="both"/>
        <w:rPr>
          <w:color w:val="000000"/>
          <w:sz w:val="22"/>
          <w:szCs w:val="22"/>
          <w:lang w:val="en-GB"/>
        </w:rPr>
      </w:pPr>
      <w:r>
        <w:rPr>
          <w:color w:val="000000"/>
          <w:sz w:val="22"/>
          <w:szCs w:val="22"/>
          <w:lang w:val="en-GB"/>
        </w:rPr>
        <w:t xml:space="preserve"> 2</w:t>
      </w:r>
      <w:r w:rsidRPr="00C75A3F">
        <w:rPr>
          <w:color w:val="000000"/>
          <w:sz w:val="22"/>
          <w:szCs w:val="22"/>
          <w:lang w:val="en-GB"/>
        </w:rPr>
        <w:t>)    Professional capacity of tenderer (based on i.a. items 4 and 5 of the Tend</w:t>
      </w:r>
      <w:r>
        <w:rPr>
          <w:color w:val="000000"/>
          <w:sz w:val="22"/>
          <w:szCs w:val="22"/>
          <w:lang w:val="en-GB"/>
        </w:rPr>
        <w:t>er Form for a Supply Contract):</w:t>
      </w:r>
    </w:p>
    <w:p w:rsidR="00C6354D" w:rsidRPr="00C75A3F" w:rsidRDefault="00C6354D" w:rsidP="00AC5464">
      <w:pPr>
        <w:ind w:left="1134" w:hanging="425"/>
        <w:jc w:val="both"/>
        <w:rPr>
          <w:color w:val="000000"/>
          <w:sz w:val="22"/>
          <w:szCs w:val="22"/>
          <w:lang w:val="en-GB"/>
        </w:rPr>
      </w:pPr>
      <w:r>
        <w:rPr>
          <w:color w:val="000000"/>
          <w:sz w:val="22"/>
          <w:szCs w:val="22"/>
          <w:lang w:val="en-GB"/>
        </w:rPr>
        <w:t xml:space="preserve">        </w:t>
      </w:r>
      <w:r w:rsidRPr="00C75A3F">
        <w:rPr>
          <w:color w:val="000000"/>
          <w:sz w:val="22"/>
          <w:szCs w:val="22"/>
          <w:lang w:val="en-GB"/>
        </w:rPr>
        <w:t>The tenderer must provide a valid certificate</w:t>
      </w:r>
      <w:r>
        <w:rPr>
          <w:color w:val="000000"/>
          <w:sz w:val="22"/>
          <w:szCs w:val="22"/>
          <w:lang w:val="en-GB"/>
        </w:rPr>
        <w:t xml:space="preserve"> ISO 90001:2008 or equivalent</w:t>
      </w:r>
      <w:r w:rsidRPr="00C75A3F">
        <w:rPr>
          <w:color w:val="000000"/>
          <w:sz w:val="22"/>
          <w:szCs w:val="22"/>
          <w:lang w:val="en-GB"/>
        </w:rPr>
        <w:t>, confirming that the wheelie bins are manufactured in conformity with the following documents:</w:t>
      </w:r>
    </w:p>
    <w:p w:rsidR="00C6354D" w:rsidRPr="00C75A3F" w:rsidRDefault="00C6354D" w:rsidP="00AC5464">
      <w:pPr>
        <w:ind w:left="1134" w:hanging="425"/>
        <w:jc w:val="both"/>
        <w:rPr>
          <w:color w:val="000000"/>
          <w:sz w:val="22"/>
          <w:szCs w:val="22"/>
        </w:rPr>
      </w:pPr>
      <w:r>
        <w:rPr>
          <w:color w:val="000000"/>
          <w:sz w:val="22"/>
          <w:szCs w:val="22"/>
          <w:lang w:val="en-GB"/>
        </w:rPr>
        <w:t xml:space="preserve">        </w:t>
      </w:r>
      <w:r w:rsidRPr="00C75A3F">
        <w:rPr>
          <w:color w:val="000000"/>
          <w:sz w:val="22"/>
          <w:szCs w:val="22"/>
          <w:lang w:val="en-GB"/>
        </w:rPr>
        <w:t xml:space="preserve">-  EN 840-3: </w:t>
      </w:r>
      <w:r w:rsidRPr="00C75A3F">
        <w:rPr>
          <w:color w:val="000000"/>
          <w:sz w:val="22"/>
          <w:szCs w:val="22"/>
        </w:rPr>
        <w:t>Mobile waste and recycling containers - Part 3: Containers with 4 wheels with a capacity up to 1300</w:t>
      </w:r>
      <w:r>
        <w:rPr>
          <w:color w:val="000000"/>
          <w:sz w:val="22"/>
          <w:szCs w:val="22"/>
        </w:rPr>
        <w:t xml:space="preserve"> </w:t>
      </w:r>
      <w:r w:rsidRPr="00C75A3F">
        <w:rPr>
          <w:color w:val="000000"/>
          <w:sz w:val="22"/>
          <w:szCs w:val="22"/>
        </w:rPr>
        <w:t>l with dome lid(s), for trunnion and/or comb lifting devices - Dimensions and design;</w:t>
      </w:r>
    </w:p>
    <w:p w:rsidR="00C6354D" w:rsidRDefault="00C6354D" w:rsidP="00AC5464">
      <w:pPr>
        <w:ind w:left="1134" w:hanging="425"/>
        <w:jc w:val="both"/>
        <w:rPr>
          <w:color w:val="000000"/>
          <w:sz w:val="22"/>
          <w:szCs w:val="22"/>
        </w:rPr>
      </w:pPr>
      <w:r>
        <w:rPr>
          <w:color w:val="000000"/>
          <w:sz w:val="22"/>
          <w:szCs w:val="22"/>
        </w:rPr>
        <w:t xml:space="preserve">         </w:t>
      </w:r>
      <w:r w:rsidRPr="00C75A3F">
        <w:rPr>
          <w:color w:val="000000"/>
          <w:sz w:val="22"/>
          <w:szCs w:val="22"/>
        </w:rPr>
        <w:t xml:space="preserve">-  EN 840-5: Mobile waste and recycling containers - Part 5: Performance requirements and test </w:t>
      </w:r>
      <w:r>
        <w:rPr>
          <w:color w:val="000000"/>
          <w:sz w:val="22"/>
          <w:szCs w:val="22"/>
        </w:rPr>
        <w:t>methods;</w:t>
      </w:r>
    </w:p>
    <w:p w:rsidR="00C6354D" w:rsidRPr="00C75A3F" w:rsidRDefault="00C6354D" w:rsidP="00AC5464">
      <w:pPr>
        <w:ind w:left="1134" w:hanging="425"/>
        <w:jc w:val="both"/>
        <w:rPr>
          <w:color w:val="000000"/>
          <w:sz w:val="22"/>
          <w:szCs w:val="22"/>
        </w:rPr>
      </w:pPr>
      <w:r>
        <w:rPr>
          <w:color w:val="000000"/>
          <w:sz w:val="22"/>
          <w:szCs w:val="22"/>
        </w:rPr>
        <w:t xml:space="preserve">        </w:t>
      </w:r>
      <w:r w:rsidRPr="00C75A3F">
        <w:rPr>
          <w:color w:val="000000"/>
          <w:sz w:val="22"/>
          <w:szCs w:val="22"/>
        </w:rPr>
        <w:t>- EN 840-6: Mobile waste and recycling containers - Part 6: Safety and health requirements.</w:t>
      </w:r>
    </w:p>
    <w:p w:rsidR="00C6354D" w:rsidRPr="00C75A3F" w:rsidRDefault="00C6354D" w:rsidP="00AF3DC9">
      <w:pPr>
        <w:pStyle w:val="Blockquote"/>
        <w:ind w:left="1134" w:hanging="425"/>
        <w:jc w:val="both"/>
        <w:rPr>
          <w:color w:val="000000"/>
          <w:sz w:val="22"/>
          <w:szCs w:val="22"/>
          <w:lang w:val="en-GB"/>
        </w:rPr>
      </w:pPr>
      <w:r w:rsidRPr="00C75A3F">
        <w:rPr>
          <w:color w:val="000000"/>
          <w:sz w:val="22"/>
          <w:szCs w:val="22"/>
          <w:lang w:val="en-GB"/>
        </w:rPr>
        <w:t>3)</w:t>
      </w:r>
      <w:r w:rsidRPr="00C75A3F">
        <w:rPr>
          <w:color w:val="000000"/>
          <w:sz w:val="22"/>
          <w:szCs w:val="22"/>
          <w:lang w:val="en-GB"/>
        </w:rPr>
        <w:tab/>
        <w:t xml:space="preserve">Technical capacity of tenderer </w:t>
      </w:r>
      <w:r w:rsidRPr="00C75A3F">
        <w:rPr>
          <w:i/>
          <w:color w:val="000000"/>
          <w:sz w:val="22"/>
          <w:szCs w:val="22"/>
          <w:lang w:val="en-GB"/>
        </w:rPr>
        <w:t>(</w:t>
      </w:r>
      <w:r w:rsidRPr="00C75A3F">
        <w:rPr>
          <w:color w:val="000000"/>
          <w:sz w:val="22"/>
          <w:szCs w:val="22"/>
          <w:lang w:val="en-GB"/>
        </w:rPr>
        <w:t>based on i.a. items 5 and 6 of the Tender Form for a Supply Contract)</w:t>
      </w:r>
    </w:p>
    <w:p w:rsidR="00C6354D" w:rsidRPr="00164678" w:rsidRDefault="00C6354D" w:rsidP="00164678">
      <w:pPr>
        <w:pStyle w:val="Blockquote"/>
        <w:numPr>
          <w:ilvl w:val="0"/>
          <w:numId w:val="39"/>
        </w:numPr>
        <w:jc w:val="both"/>
        <w:rPr>
          <w:color w:val="000000"/>
          <w:sz w:val="22"/>
          <w:szCs w:val="22"/>
          <w:lang w:val="en-GB"/>
        </w:rPr>
      </w:pPr>
      <w:r w:rsidRPr="00C75A3F">
        <w:rPr>
          <w:color w:val="000000"/>
          <w:sz w:val="22"/>
          <w:szCs w:val="22"/>
          <w:lang w:val="en-GB"/>
        </w:rPr>
        <w:t>The tenderer has worked successfully on projects in fields</w:t>
      </w:r>
      <w:r>
        <w:rPr>
          <w:color w:val="000000"/>
          <w:sz w:val="22"/>
          <w:szCs w:val="22"/>
          <w:lang w:val="en-GB"/>
        </w:rPr>
        <w:t xml:space="preserve"> similar to the respective lot</w:t>
      </w:r>
      <w:r w:rsidRPr="00C75A3F">
        <w:rPr>
          <w:color w:val="000000"/>
          <w:sz w:val="22"/>
          <w:szCs w:val="22"/>
          <w:lang w:val="en-GB"/>
        </w:rPr>
        <w:t xml:space="preserve"> with a budget of at least the amount of </w:t>
      </w:r>
      <w:r>
        <w:rPr>
          <w:color w:val="000000"/>
          <w:sz w:val="22"/>
          <w:szCs w:val="22"/>
          <w:lang w:val="en-GB"/>
        </w:rPr>
        <w:t xml:space="preserve">55 660 EUR, </w:t>
      </w:r>
      <w:r w:rsidRPr="00164678">
        <w:rPr>
          <w:color w:val="000000"/>
          <w:sz w:val="22"/>
          <w:szCs w:val="22"/>
        </w:rPr>
        <w:t>which were implemented during the following period: 3 years from the submission deadline.</w:t>
      </w:r>
    </w:p>
    <w:p w:rsidR="00C6354D" w:rsidRPr="00C75A3F" w:rsidRDefault="00C6354D" w:rsidP="000409ED">
      <w:pPr>
        <w:pStyle w:val="Blockquote"/>
        <w:keepLines/>
        <w:ind w:left="709" w:right="357"/>
        <w:jc w:val="both"/>
        <w:rPr>
          <w:color w:val="000000"/>
          <w:sz w:val="22"/>
          <w:szCs w:val="22"/>
          <w:lang w:val="en-GB"/>
        </w:rPr>
      </w:pPr>
      <w:r w:rsidRPr="00C75A3F">
        <w:rPr>
          <w:color w:val="000000"/>
          <w:sz w:val="22"/>
          <w:szCs w:val="22"/>
          <w:lang w:val="en-GB"/>
        </w:rPr>
        <w:t xml:space="preserve">An economic operator may, where appropriate and for a particular contract, rely on the capacities of other entities, regardless of the legal nature of the links which it has with them. Some examples of when it may </w:t>
      </w:r>
      <w:r w:rsidRPr="00C75A3F">
        <w:rPr>
          <w:i/>
          <w:color w:val="000000"/>
          <w:sz w:val="22"/>
          <w:szCs w:val="22"/>
          <w:lang w:val="en-GB"/>
        </w:rPr>
        <w:t xml:space="preserve">not </w:t>
      </w:r>
      <w:r w:rsidRPr="00C75A3F">
        <w:rPr>
          <w:color w:val="000000"/>
          <w:sz w:val="22"/>
          <w:szCs w:val="22"/>
          <w:lang w:val="en-GB"/>
        </w:rPr>
        <w:t>be considered appropriate by the Contracting Authority are when the tender rely in majority on the capacities of other entities or when they rely on key criteria. If the tender rely on other entities it must prove to the Contracting Authority that it will have at its disposal the resources necessary for performance of the contract, for example by producing an undertaking on the part of those entities to place those resources at its disposal. Such entities</w:t>
      </w:r>
      <w:r w:rsidRPr="00C75A3F">
        <w:rPr>
          <w:color w:val="000000"/>
          <w:sz w:val="22"/>
          <w:szCs w:val="22"/>
        </w:rPr>
        <w:t xml:space="preserve">, for instance the parent company of the economic operator, </w:t>
      </w:r>
      <w:r w:rsidRPr="00C75A3F">
        <w:rPr>
          <w:color w:val="000000"/>
          <w:sz w:val="22"/>
          <w:szCs w:val="22"/>
          <w:lang w:val="en-GB"/>
        </w:rPr>
        <w:t xml:space="preserve">must respect the same rules of eligibility and notably that of nationality, as the economic operator. Furthermore, the data for this third entity for the relevant selection criterion should be included in the tender in a separate document. Proof of the capacity will also have to be furnished when requested by the Contracting Authority. </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Award criteria</w:t>
      </w:r>
    </w:p>
    <w:p w:rsidR="00C6354D" w:rsidRPr="00C75A3F" w:rsidRDefault="00C6354D" w:rsidP="006D50C0">
      <w:pPr>
        <w:pStyle w:val="Blockquote"/>
        <w:ind w:left="709"/>
        <w:rPr>
          <w:color w:val="000000"/>
          <w:sz w:val="22"/>
          <w:szCs w:val="22"/>
          <w:lang w:val="en-GB"/>
        </w:rPr>
      </w:pPr>
      <w:r w:rsidRPr="00C75A3F">
        <w:rPr>
          <w:color w:val="000000"/>
          <w:szCs w:val="24"/>
          <w:lang w:val="en-GB"/>
        </w:rPr>
        <w:t xml:space="preserve">The award criterion for selection in the </w:t>
      </w:r>
      <w:r w:rsidRPr="00C75A3F">
        <w:rPr>
          <w:color w:val="000000"/>
          <w:szCs w:val="24"/>
        </w:rPr>
        <w:t>international</w:t>
      </w:r>
      <w:r w:rsidRPr="00C75A3F">
        <w:rPr>
          <w:color w:val="000000"/>
          <w:szCs w:val="24"/>
          <w:lang w:val="en-GB"/>
        </w:rPr>
        <w:t xml:space="preserve"> open procedure is</w:t>
      </w:r>
      <w:r w:rsidRPr="00C75A3F">
        <w:rPr>
          <w:b/>
          <w:color w:val="000000"/>
          <w:szCs w:val="24"/>
          <w:lang w:val="en-GB"/>
        </w:rPr>
        <w:t xml:space="preserve"> the lowest price of technically compliant offers</w:t>
      </w:r>
      <w:r w:rsidRPr="00C75A3F">
        <w:rPr>
          <w:color w:val="000000"/>
          <w:szCs w:val="24"/>
          <w:lang w:val="en-GB"/>
        </w:rPr>
        <w:t>.</w:t>
      </w:r>
    </w:p>
    <w:p w:rsidR="00C6354D" w:rsidRPr="00C75A3F" w:rsidRDefault="00C6354D" w:rsidP="0088725C">
      <w:pPr>
        <w:spacing w:before="300"/>
        <w:jc w:val="center"/>
        <w:rPr>
          <w:rStyle w:val="Strong"/>
          <w:color w:val="000000"/>
          <w:sz w:val="28"/>
          <w:szCs w:val="28"/>
          <w:lang w:val="en-GB"/>
        </w:rPr>
      </w:pPr>
      <w:r>
        <w:rPr>
          <w:noProof/>
          <w:lang w:val="bg-BG" w:eastAsia="bg-BG"/>
        </w:rPr>
        <w:pict>
          <v:line id="_x0000_s1030" style="position:absolute;left:0;text-align:left;z-index:251656704" from="0,12pt" to="468pt,12.05pt" o:allowincell="f" strokecolor="#d4d4d4" strokeweight="1.75pt">
            <v:shadow on="t" origin=",32385f" offset="0,-1pt"/>
          </v:line>
        </w:pict>
      </w:r>
      <w:r w:rsidRPr="00C75A3F">
        <w:rPr>
          <w:rStyle w:val="Strong"/>
          <w:color w:val="000000"/>
          <w:sz w:val="28"/>
          <w:szCs w:val="28"/>
          <w:lang w:val="en-GB"/>
        </w:rPr>
        <w:t>TENDERING</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How to obtain the tender dossier</w:t>
      </w:r>
    </w:p>
    <w:p w:rsidR="00C6354D" w:rsidRPr="00C75A3F" w:rsidRDefault="00C6354D" w:rsidP="006D50C0">
      <w:pPr>
        <w:pStyle w:val="Blockquote"/>
        <w:ind w:left="709" w:right="357"/>
        <w:jc w:val="both"/>
        <w:rPr>
          <w:color w:val="000000"/>
          <w:sz w:val="22"/>
          <w:szCs w:val="22"/>
          <w:lang w:val="en-GB"/>
        </w:rPr>
      </w:pPr>
      <w:r w:rsidRPr="00C75A3F">
        <w:rPr>
          <w:color w:val="000000"/>
          <w:sz w:val="22"/>
          <w:szCs w:val="22"/>
          <w:lang w:val="en-GB"/>
        </w:rPr>
        <w:t xml:space="preserve">The tender dossier is available from the following Internet address: </w:t>
      </w:r>
      <w:hyperlink r:id="rId7" w:history="1">
        <w:r w:rsidRPr="00C75A3F">
          <w:rPr>
            <w:rStyle w:val="Hyperlink"/>
            <w:color w:val="000000"/>
            <w:sz w:val="22"/>
            <w:szCs w:val="22"/>
            <w:lang w:val="en-GB"/>
          </w:rPr>
          <w:t>https://webgate.ec.europa.eu/europeaid/online-services/index.cfm?do=publi.welcome</w:t>
        </w:r>
      </w:hyperlink>
      <w:r w:rsidRPr="00C75A3F">
        <w:rPr>
          <w:color w:val="000000"/>
          <w:sz w:val="22"/>
          <w:szCs w:val="22"/>
          <w:lang w:val="en-GB"/>
        </w:rPr>
        <w:t>. The tender dossier is also available from the Contracting Authority. Tenders must be submitted using the standard Tender Form for a Supply Contract included in the tender dossier, whose format and instructions must be strictly observed.</w:t>
      </w:r>
    </w:p>
    <w:p w:rsidR="00C6354D" w:rsidRPr="00C75A3F" w:rsidRDefault="00C6354D" w:rsidP="006D50C0">
      <w:pPr>
        <w:ind w:left="709"/>
        <w:rPr>
          <w:color w:val="000000"/>
          <w:sz w:val="22"/>
          <w:szCs w:val="22"/>
          <w:lang w:val="en-GB"/>
        </w:rPr>
      </w:pPr>
      <w:r w:rsidRPr="00C75A3F">
        <w:rPr>
          <w:color w:val="000000"/>
          <w:sz w:val="22"/>
          <w:szCs w:val="22"/>
          <w:lang w:val="en-GB"/>
        </w:rPr>
        <w:t>Tenderers with questions regarding this tender should send them in writing to postal address: 36 Han Asparuh Str., Town of Tsarevo, Republic of Bulgaria; e-mail: tzarevo@dir.bg. (Mentioning the publication reference shown in item 1) at least 21 days before the deadline for submission of tenders given in item 19</w:t>
      </w:r>
      <w:r>
        <w:rPr>
          <w:color w:val="000000"/>
          <w:sz w:val="22"/>
          <w:szCs w:val="22"/>
          <w:lang w:val="en-GB"/>
        </w:rPr>
        <w:t>)</w:t>
      </w:r>
      <w:r w:rsidRPr="00C75A3F">
        <w:rPr>
          <w:color w:val="000000"/>
          <w:sz w:val="22"/>
          <w:szCs w:val="22"/>
          <w:lang w:val="en-GB"/>
        </w:rPr>
        <w:t>. The Contracting Authority must reply to all tenderers' questions at least 11 days before the</w:t>
      </w:r>
      <w:r w:rsidRPr="00C75A3F">
        <w:rPr>
          <w:color w:val="000000"/>
          <w:lang w:val="en-GB"/>
        </w:rPr>
        <w:t xml:space="preserve"> </w:t>
      </w:r>
      <w:r w:rsidRPr="00C75A3F">
        <w:rPr>
          <w:color w:val="000000"/>
          <w:sz w:val="22"/>
          <w:szCs w:val="22"/>
          <w:lang w:val="en-GB"/>
        </w:rPr>
        <w:t xml:space="preserve">deadline for submission of tenders. Eventual clarifications or minor changes to the tender dossier shall be published at the latest 11 days before the submission deadline on the EuropeAid website at </w:t>
      </w:r>
      <w:hyperlink r:id="rId8" w:history="1">
        <w:r w:rsidRPr="00C75A3F">
          <w:rPr>
            <w:rStyle w:val="Hyperlink"/>
            <w:color w:val="000000"/>
            <w:sz w:val="22"/>
            <w:szCs w:val="22"/>
            <w:lang w:val="en-GB"/>
          </w:rPr>
          <w:t>https://webgate.ec.europa.eu/europeaid/online-services/index.cfm?do=publi.welcome</w:t>
        </w:r>
      </w:hyperlink>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Deadline for submission of tenders</w:t>
      </w:r>
    </w:p>
    <w:p w:rsidR="00C6354D" w:rsidRPr="00C75A3F" w:rsidRDefault="00C6354D" w:rsidP="00650CA0">
      <w:pPr>
        <w:pStyle w:val="Blockquote"/>
        <w:ind w:left="644"/>
        <w:jc w:val="both"/>
        <w:rPr>
          <w:rStyle w:val="Emphasis"/>
          <w:b/>
          <w:i w:val="0"/>
          <w:color w:val="000000"/>
          <w:sz w:val="22"/>
          <w:szCs w:val="22"/>
          <w:lang w:val="en-GB"/>
        </w:rPr>
      </w:pPr>
      <w:r>
        <w:rPr>
          <w:color w:val="000000"/>
          <w:sz w:val="22"/>
          <w:szCs w:val="22"/>
          <w:lang w:val="en-GB"/>
        </w:rPr>
        <w:t xml:space="preserve"> </w:t>
      </w:r>
      <w:r w:rsidRPr="00C75A3F">
        <w:rPr>
          <w:color w:val="000000"/>
          <w:sz w:val="22"/>
          <w:szCs w:val="22"/>
          <w:lang w:val="en-GB"/>
        </w:rPr>
        <w:t xml:space="preserve">17:00 Local time /Bulgarian/ on </w:t>
      </w:r>
      <w:r>
        <w:rPr>
          <w:b/>
          <w:color w:val="000000"/>
          <w:sz w:val="22"/>
          <w:szCs w:val="22"/>
          <w:lang w:val="en-GB"/>
        </w:rPr>
        <w:t>16.05</w:t>
      </w:r>
      <w:r w:rsidRPr="00C75A3F">
        <w:rPr>
          <w:b/>
          <w:color w:val="000000"/>
          <w:sz w:val="22"/>
          <w:szCs w:val="22"/>
          <w:lang w:val="en-GB"/>
        </w:rPr>
        <w:t>.201</w:t>
      </w:r>
      <w:r>
        <w:rPr>
          <w:b/>
          <w:color w:val="000000"/>
          <w:sz w:val="22"/>
          <w:szCs w:val="22"/>
          <w:lang w:val="en-GB"/>
        </w:rPr>
        <w:t>4</w:t>
      </w:r>
    </w:p>
    <w:p w:rsidR="00C6354D" w:rsidRPr="00C75A3F" w:rsidRDefault="00C6354D" w:rsidP="00650CA0">
      <w:pPr>
        <w:pStyle w:val="Blockquote"/>
        <w:ind w:left="644"/>
        <w:rPr>
          <w:color w:val="000000"/>
          <w:sz w:val="22"/>
          <w:szCs w:val="22"/>
          <w:lang w:val="en-GB"/>
        </w:rPr>
      </w:pPr>
      <w:r>
        <w:rPr>
          <w:color w:val="000000"/>
          <w:sz w:val="22"/>
          <w:szCs w:val="22"/>
          <w:lang w:val="en-GB"/>
        </w:rPr>
        <w:t xml:space="preserve"> </w:t>
      </w:r>
      <w:r w:rsidRPr="00C75A3F">
        <w:rPr>
          <w:color w:val="000000"/>
          <w:sz w:val="22"/>
          <w:szCs w:val="22"/>
          <w:lang w:val="en-GB"/>
        </w:rPr>
        <w:t>Any tender received after this deadline will not be considered.</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Tender opening session</w:t>
      </w:r>
    </w:p>
    <w:p w:rsidR="00C6354D" w:rsidRPr="00C75A3F" w:rsidRDefault="00C6354D" w:rsidP="006D50C0">
      <w:pPr>
        <w:pStyle w:val="Blockquote"/>
        <w:ind w:left="709"/>
        <w:rPr>
          <w:color w:val="000000"/>
          <w:sz w:val="22"/>
          <w:szCs w:val="22"/>
        </w:rPr>
      </w:pPr>
      <w:r w:rsidRPr="00C75A3F">
        <w:rPr>
          <w:color w:val="000000"/>
          <w:sz w:val="22"/>
          <w:szCs w:val="22"/>
          <w:lang w:val="en-GB"/>
        </w:rPr>
        <w:t xml:space="preserve">10:00 Local time (Bulgarian) on the day after the deadline for submission of tenders, </w:t>
      </w:r>
      <w:r>
        <w:rPr>
          <w:b/>
          <w:color w:val="000000"/>
          <w:sz w:val="22"/>
          <w:szCs w:val="22"/>
          <w:lang w:val="en-GB"/>
        </w:rPr>
        <w:t>19.05</w:t>
      </w:r>
      <w:r w:rsidRPr="00C75A3F">
        <w:rPr>
          <w:b/>
          <w:color w:val="000000"/>
          <w:sz w:val="22"/>
          <w:szCs w:val="22"/>
          <w:lang w:val="en-GB"/>
        </w:rPr>
        <w:t>.</w:t>
      </w:r>
      <w:r>
        <w:rPr>
          <w:b/>
          <w:color w:val="000000"/>
          <w:sz w:val="22"/>
          <w:szCs w:val="22"/>
          <w:lang w:val="en-GB"/>
        </w:rPr>
        <w:t>2014</w:t>
      </w:r>
      <w:r w:rsidRPr="00C75A3F">
        <w:rPr>
          <w:color w:val="000000"/>
          <w:sz w:val="22"/>
          <w:szCs w:val="22"/>
          <w:lang w:val="en-GB"/>
        </w:rPr>
        <w:t xml:space="preserve">, at Municipality of Tsarevo, Republic of Bulgaria, 36 Han Asparuh Str, </w:t>
      </w:r>
      <w:r w:rsidRPr="00C75A3F">
        <w:rPr>
          <w:color w:val="000000"/>
          <w:sz w:val="22"/>
          <w:szCs w:val="22"/>
        </w:rPr>
        <w:t>Conference room.</w:t>
      </w:r>
    </w:p>
    <w:p w:rsidR="00C6354D" w:rsidRPr="00C75A3F" w:rsidRDefault="00C6354D" w:rsidP="00B41887">
      <w:pPr>
        <w:pStyle w:val="Blockquote"/>
        <w:ind w:left="709"/>
        <w:rPr>
          <w:rStyle w:val="Strong"/>
          <w:color w:val="000000"/>
          <w:szCs w:val="24"/>
          <w:lang w:val="en-GB"/>
        </w:rPr>
      </w:pPr>
      <w:r w:rsidRPr="00C75A3F">
        <w:rPr>
          <w:rStyle w:val="Strong"/>
          <w:color w:val="000000"/>
          <w:szCs w:val="24"/>
          <w:lang w:val="en-GB"/>
        </w:rPr>
        <w:t>Language of the procedure</w:t>
      </w:r>
    </w:p>
    <w:p w:rsidR="00C6354D" w:rsidRPr="00C75A3F" w:rsidRDefault="00C6354D" w:rsidP="006D50C0">
      <w:pPr>
        <w:pStyle w:val="Blockquote"/>
        <w:ind w:left="709"/>
        <w:jc w:val="both"/>
        <w:rPr>
          <w:i/>
          <w:color w:val="000000"/>
          <w:sz w:val="22"/>
          <w:szCs w:val="22"/>
          <w:lang w:val="en-GB"/>
        </w:rPr>
      </w:pPr>
      <w:r w:rsidRPr="00C75A3F">
        <w:rPr>
          <w:rStyle w:val="Emphasis"/>
          <w:i w:val="0"/>
          <w:color w:val="000000"/>
          <w:sz w:val="22"/>
          <w:szCs w:val="22"/>
          <w:lang w:val="en-GB"/>
        </w:rPr>
        <w:t xml:space="preserve">All written communications for this tender procedure and contract must be in English. </w:t>
      </w:r>
    </w:p>
    <w:p w:rsidR="00C6354D" w:rsidRPr="00C75A3F" w:rsidRDefault="00C6354D" w:rsidP="00AF3DC9">
      <w:pPr>
        <w:numPr>
          <w:ilvl w:val="0"/>
          <w:numId w:val="35"/>
        </w:numPr>
        <w:tabs>
          <w:tab w:val="clear" w:pos="644"/>
          <w:tab w:val="num" w:pos="709"/>
        </w:tabs>
        <w:ind w:left="709" w:hanging="425"/>
        <w:outlineLvl w:val="0"/>
        <w:rPr>
          <w:rStyle w:val="Strong"/>
          <w:color w:val="000000"/>
          <w:szCs w:val="24"/>
          <w:lang w:val="en-GB"/>
        </w:rPr>
      </w:pPr>
      <w:r w:rsidRPr="00C75A3F">
        <w:rPr>
          <w:rStyle w:val="Strong"/>
          <w:color w:val="000000"/>
          <w:szCs w:val="24"/>
          <w:lang w:val="en-GB"/>
        </w:rPr>
        <w:t>Legal basis</w:t>
      </w:r>
    </w:p>
    <w:p w:rsidR="00C6354D" w:rsidRPr="00C75A3F" w:rsidRDefault="00C6354D" w:rsidP="006D50C0">
      <w:pPr>
        <w:ind w:left="709"/>
        <w:outlineLvl w:val="0"/>
        <w:rPr>
          <w:color w:val="000000"/>
          <w:sz w:val="22"/>
          <w:szCs w:val="22"/>
          <w:lang w:val="en-GB"/>
        </w:rPr>
      </w:pPr>
      <w:r w:rsidRPr="00C75A3F">
        <w:rPr>
          <w:color w:val="000000"/>
          <w:sz w:val="22"/>
          <w:szCs w:val="22"/>
          <w:lang w:val="en-GB"/>
        </w:rPr>
        <w:t>Council Regulation (EC) No 1085/2006 of 17 July 2006 establishing an Instrument for Pre-accession assistance;</w:t>
      </w:r>
    </w:p>
    <w:p w:rsidR="00C6354D" w:rsidRPr="00C75A3F" w:rsidRDefault="00C6354D" w:rsidP="006D50C0">
      <w:pPr>
        <w:ind w:left="709"/>
        <w:outlineLvl w:val="0"/>
        <w:rPr>
          <w:color w:val="000000"/>
          <w:sz w:val="22"/>
          <w:szCs w:val="22"/>
          <w:lang w:val="en-GB"/>
        </w:rPr>
      </w:pPr>
      <w:r w:rsidRPr="00C75A3F">
        <w:rPr>
          <w:color w:val="000000"/>
          <w:sz w:val="22"/>
          <w:szCs w:val="22"/>
          <w:lang w:val="en-GB"/>
        </w:rPr>
        <w:t>Regulation (EU) No. 540/2010 of the European Parliament and of the Council of 16 June 2010, amending Council Regulation (EC) No 1085/2006 of 17 July 2006 establishing an Instrument for Pre-accession assistance;</w:t>
      </w:r>
    </w:p>
    <w:p w:rsidR="00C6354D" w:rsidRPr="00C75A3F" w:rsidRDefault="00C6354D" w:rsidP="006D50C0">
      <w:pPr>
        <w:ind w:left="709"/>
        <w:outlineLvl w:val="0"/>
        <w:rPr>
          <w:color w:val="000000"/>
          <w:sz w:val="22"/>
          <w:szCs w:val="22"/>
          <w:lang w:val="en-GB"/>
        </w:rPr>
      </w:pPr>
      <w:r w:rsidRPr="00C75A3F">
        <w:rPr>
          <w:color w:val="000000"/>
          <w:sz w:val="22"/>
          <w:szCs w:val="22"/>
          <w:lang w:val="en-GB"/>
        </w:rPr>
        <w:t>Commission Regulation (EC) No 718/2007 of 12 June 2007 implementing Council Regulation (EC) No 1085/2006 establishing an Instrument for Pre-accession assistance;</w:t>
      </w:r>
    </w:p>
    <w:p w:rsidR="00C6354D" w:rsidRPr="00C75A3F" w:rsidRDefault="00C6354D" w:rsidP="006D50C0">
      <w:pPr>
        <w:ind w:left="709"/>
        <w:outlineLvl w:val="0"/>
        <w:rPr>
          <w:color w:val="000000"/>
          <w:sz w:val="22"/>
          <w:szCs w:val="22"/>
          <w:lang w:val="en-GB"/>
        </w:rPr>
      </w:pPr>
      <w:r w:rsidRPr="00C75A3F">
        <w:rPr>
          <w:color w:val="000000"/>
          <w:sz w:val="22"/>
          <w:szCs w:val="22"/>
          <w:lang w:val="en-GB"/>
        </w:rPr>
        <w:t>Commission Regulation (EU) No 90/2010 of 28 January 2010 amending Regulation (EC) No 718/2007 of 12 June 2007 implementing Council Regulation (EC) No 1085/2006 establishing an Instrument for Pre-accession assistance;</w:t>
      </w:r>
    </w:p>
    <w:p w:rsidR="00C6354D" w:rsidRPr="00C75A3F" w:rsidRDefault="00C6354D" w:rsidP="006D50C0">
      <w:pPr>
        <w:ind w:left="709"/>
        <w:outlineLvl w:val="0"/>
        <w:rPr>
          <w:color w:val="000000"/>
          <w:sz w:val="22"/>
          <w:szCs w:val="22"/>
          <w:lang w:val="en-GB"/>
        </w:rPr>
      </w:pPr>
      <w:r w:rsidRPr="00C75A3F">
        <w:rPr>
          <w:color w:val="000000"/>
          <w:sz w:val="22"/>
          <w:szCs w:val="22"/>
          <w:lang w:val="en-GB"/>
        </w:rPr>
        <w:t>The Bulgaria – Turkey IPA Cross-Border Programme 2007 -2013, approved by the European Commission by Decision C(2007) 6477 from 20.12.2007, amended with Decision C(2010) from 22.06.2010 and Decision C(2012) 4940 from 17.07.2012;</w:t>
      </w:r>
    </w:p>
    <w:p w:rsidR="00C6354D" w:rsidRPr="00C75A3F" w:rsidRDefault="00C6354D" w:rsidP="006D50C0">
      <w:pPr>
        <w:ind w:left="709"/>
        <w:outlineLvl w:val="0"/>
        <w:rPr>
          <w:color w:val="000000"/>
          <w:sz w:val="22"/>
          <w:szCs w:val="22"/>
          <w:lang w:val="en-GB"/>
        </w:rPr>
      </w:pPr>
      <w:r w:rsidRPr="00C75A3F">
        <w:rPr>
          <w:color w:val="000000"/>
          <w:sz w:val="22"/>
          <w:szCs w:val="22"/>
          <w:lang w:val="en-GB"/>
        </w:rPr>
        <w:t>Financing Agreements between Republic of Turkey and European Commission for the Programme, signed respectively on 26.05.2009 and 07.06.2011 (entered into force on 04.04.2012);</w:t>
      </w:r>
    </w:p>
    <w:p w:rsidR="00C6354D" w:rsidRPr="00C75A3F" w:rsidRDefault="00C6354D" w:rsidP="006D50C0">
      <w:pPr>
        <w:ind w:left="709"/>
        <w:outlineLvl w:val="0"/>
        <w:rPr>
          <w:color w:val="000000"/>
          <w:sz w:val="22"/>
          <w:szCs w:val="22"/>
          <w:lang w:val="en-GB"/>
        </w:rPr>
      </w:pPr>
      <w:r w:rsidRPr="00C75A3F">
        <w:rPr>
          <w:color w:val="000000"/>
          <w:sz w:val="22"/>
          <w:szCs w:val="22"/>
          <w:lang w:val="en-GB"/>
        </w:rPr>
        <w:t>Second call for Proposals and the respective Guidelines for Applicants’ Package;</w:t>
      </w:r>
    </w:p>
    <w:p w:rsidR="00C6354D" w:rsidRPr="00C75A3F" w:rsidRDefault="00C6354D" w:rsidP="006D50C0">
      <w:pPr>
        <w:ind w:left="709"/>
        <w:outlineLvl w:val="0"/>
        <w:rPr>
          <w:color w:val="000000"/>
          <w:sz w:val="22"/>
          <w:szCs w:val="22"/>
          <w:lang w:val="en-GB"/>
        </w:rPr>
      </w:pPr>
      <w:r w:rsidRPr="00C75A3F">
        <w:rPr>
          <w:color w:val="000000"/>
          <w:sz w:val="22"/>
          <w:szCs w:val="22"/>
          <w:lang w:val="en-GB"/>
        </w:rPr>
        <w:t>PRAG – Practical Guide to contract procedures for EU external actions.</w:t>
      </w:r>
    </w:p>
    <w:p w:rsidR="00C6354D" w:rsidRPr="00C75A3F" w:rsidRDefault="00C6354D" w:rsidP="006D50C0">
      <w:pPr>
        <w:ind w:left="709"/>
        <w:outlineLvl w:val="0"/>
        <w:rPr>
          <w:b/>
          <w:color w:val="000000"/>
          <w:sz w:val="22"/>
          <w:szCs w:val="22"/>
        </w:rPr>
      </w:pPr>
    </w:p>
    <w:sectPr w:rsidR="00C6354D" w:rsidRPr="00C75A3F" w:rsidSect="00B41887">
      <w:footerReference w:type="even" r:id="rId9"/>
      <w:footerReference w:type="default" r:id="rId10"/>
      <w:pgSz w:w="11907" w:h="16839" w:code="9"/>
      <w:pgMar w:top="1417" w:right="1417" w:bottom="1417" w:left="1417" w:header="1440" w:footer="530" w:gutter="0"/>
      <w:pgNumType w:start="1"/>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54D" w:rsidRDefault="00C6354D">
      <w:r>
        <w:separator/>
      </w:r>
    </w:p>
  </w:endnote>
  <w:endnote w:type="continuationSeparator" w:id="0">
    <w:p w:rsidR="00C6354D" w:rsidRDefault="00C63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4D" w:rsidRDefault="00C6354D" w:rsidP="00A5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6354D" w:rsidRDefault="00C6354D" w:rsidP="00AA67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4D" w:rsidRPr="002116E1" w:rsidRDefault="00C6354D" w:rsidP="00F274BD">
    <w:pPr>
      <w:pStyle w:val="Footer"/>
      <w:tabs>
        <w:tab w:val="clear" w:pos="4536"/>
      </w:tabs>
      <w:spacing w:after="0"/>
      <w:ind w:right="357"/>
      <w:rPr>
        <w:sz w:val="18"/>
        <w:szCs w:val="18"/>
        <w:lang w:val="en-GB"/>
      </w:rPr>
    </w:pPr>
    <w:r>
      <w:rPr>
        <w:b/>
        <w:sz w:val="18"/>
        <w:szCs w:val="18"/>
        <w:lang w:val="en-GB"/>
      </w:rPr>
      <w:t>2013.1</w:t>
    </w:r>
    <w:r w:rsidRPr="002116E1">
      <w:rPr>
        <w:sz w:val="18"/>
        <w:szCs w:val="18"/>
        <w:lang w:val="en-GB"/>
      </w:rPr>
      <w:tab/>
      <w:t xml:space="preserve">Page </w:t>
    </w:r>
    <w:r w:rsidRPr="002116E1">
      <w:rPr>
        <w:sz w:val="18"/>
        <w:szCs w:val="18"/>
        <w:lang w:val="en-GB"/>
      </w:rPr>
      <w:fldChar w:fldCharType="begin"/>
    </w:r>
    <w:r w:rsidRPr="002116E1">
      <w:rPr>
        <w:sz w:val="18"/>
        <w:szCs w:val="18"/>
        <w:lang w:val="en-GB"/>
      </w:rPr>
      <w:instrText xml:space="preserve"> PAGE </w:instrText>
    </w:r>
    <w:r w:rsidRPr="002116E1">
      <w:rPr>
        <w:sz w:val="18"/>
        <w:szCs w:val="18"/>
        <w:lang w:val="en-GB"/>
      </w:rPr>
      <w:fldChar w:fldCharType="separate"/>
    </w:r>
    <w:r>
      <w:rPr>
        <w:noProof/>
        <w:sz w:val="18"/>
        <w:szCs w:val="18"/>
        <w:lang w:val="en-GB"/>
      </w:rPr>
      <w:t>1</w:t>
    </w:r>
    <w:r w:rsidRPr="002116E1">
      <w:rPr>
        <w:sz w:val="18"/>
        <w:szCs w:val="18"/>
        <w:lang w:val="en-GB"/>
      </w:rPr>
      <w:fldChar w:fldCharType="end"/>
    </w:r>
    <w:r w:rsidRPr="002116E1">
      <w:rPr>
        <w:sz w:val="18"/>
        <w:szCs w:val="18"/>
        <w:lang w:val="en-GB"/>
      </w:rPr>
      <w:t xml:space="preserve"> of </w:t>
    </w:r>
    <w:r w:rsidRPr="002116E1">
      <w:rPr>
        <w:sz w:val="18"/>
        <w:szCs w:val="18"/>
        <w:lang w:val="en-GB"/>
      </w:rPr>
      <w:fldChar w:fldCharType="begin"/>
    </w:r>
    <w:r w:rsidRPr="002116E1">
      <w:rPr>
        <w:sz w:val="18"/>
        <w:szCs w:val="18"/>
        <w:lang w:val="en-GB"/>
      </w:rPr>
      <w:instrText xml:space="preserve"> NUMPAGES </w:instrText>
    </w:r>
    <w:r w:rsidRPr="002116E1">
      <w:rPr>
        <w:sz w:val="18"/>
        <w:szCs w:val="18"/>
        <w:lang w:val="en-GB"/>
      </w:rPr>
      <w:fldChar w:fldCharType="separate"/>
    </w:r>
    <w:r>
      <w:rPr>
        <w:noProof/>
        <w:sz w:val="18"/>
        <w:szCs w:val="18"/>
        <w:lang w:val="en-GB"/>
      </w:rPr>
      <w:t>4</w:t>
    </w:r>
    <w:r w:rsidRPr="002116E1">
      <w:rPr>
        <w:sz w:val="18"/>
        <w:szCs w:val="18"/>
        <w:lang w:val="en-GB"/>
      </w:rPr>
      <w:fldChar w:fldCharType="end"/>
    </w:r>
  </w:p>
  <w:p w:rsidR="00C6354D" w:rsidRPr="002116E1" w:rsidRDefault="00C6354D" w:rsidP="00F274BD">
    <w:pPr>
      <w:pStyle w:val="Footer"/>
      <w:tabs>
        <w:tab w:val="clear" w:pos="4536"/>
      </w:tabs>
      <w:spacing w:before="0"/>
      <w:ind w:right="357"/>
      <w:rPr>
        <w:sz w:val="18"/>
        <w:szCs w:val="18"/>
        <w:lang w:val="en-GB"/>
      </w:rPr>
    </w:pPr>
    <w:r w:rsidRPr="002116E1">
      <w:rPr>
        <w:sz w:val="18"/>
        <w:szCs w:val="18"/>
        <w:lang w:val="en-GB"/>
      </w:rPr>
      <w:fldChar w:fldCharType="begin"/>
    </w:r>
    <w:r w:rsidRPr="002116E1">
      <w:rPr>
        <w:sz w:val="18"/>
        <w:szCs w:val="18"/>
        <w:lang w:val="en-GB"/>
      </w:rPr>
      <w:instrText xml:space="preserve"> FILENAME </w:instrText>
    </w:r>
    <w:r w:rsidRPr="002116E1">
      <w:rPr>
        <w:sz w:val="18"/>
        <w:szCs w:val="18"/>
        <w:lang w:val="en-GB"/>
      </w:rPr>
      <w:fldChar w:fldCharType="separate"/>
    </w:r>
    <w:r>
      <w:rPr>
        <w:noProof/>
        <w:sz w:val="18"/>
        <w:szCs w:val="18"/>
        <w:lang w:val="en-GB"/>
      </w:rPr>
      <w:t>c2_contractnotice_en</w:t>
    </w:r>
    <w:r w:rsidRPr="002116E1">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54D" w:rsidRDefault="00C6354D">
      <w:r>
        <w:separator/>
      </w:r>
    </w:p>
  </w:footnote>
  <w:footnote w:type="continuationSeparator" w:id="0">
    <w:p w:rsidR="00C6354D" w:rsidRDefault="00C63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FFFFFFF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1"/>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5">
    <w:nsid w:val="00000005"/>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6">
    <w:nsid w:val="0000000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7">
    <w:nsid w:val="00000007"/>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8">
    <w:nsid w:val="0000000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9">
    <w:nsid w:val="00000009"/>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0">
    <w:nsid w:val="0000000A"/>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1">
    <w:nsid w:val="0000000B"/>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2">
    <w:nsid w:val="0000000C"/>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3">
    <w:nsid w:val="0000000D"/>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nsid w:val="0000000E"/>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5">
    <w:nsid w:val="0000000F"/>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6">
    <w:nsid w:val="00000010"/>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7">
    <w:nsid w:val="00000011"/>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8">
    <w:nsid w:val="0000001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9">
    <w:nsid w:val="0000001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0">
    <w:nsid w:val="0000001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1">
    <w:nsid w:val="00000015"/>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2">
    <w:nsid w:val="0000001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3">
    <w:nsid w:val="00000017"/>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4">
    <w:nsid w:val="0000001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5">
    <w:nsid w:val="00000019"/>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6">
    <w:nsid w:val="0000001A"/>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7">
    <w:nsid w:val="039171A7"/>
    <w:multiLevelType w:val="hybridMultilevel"/>
    <w:tmpl w:val="A7BE9C10"/>
    <w:lvl w:ilvl="0" w:tplc="D6C020D4">
      <w:start w:val="1"/>
      <w:numFmt w:val="lowerLetter"/>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8">
    <w:nsid w:val="076B35C8"/>
    <w:multiLevelType w:val="hybridMultilevel"/>
    <w:tmpl w:val="CE2852A0"/>
    <w:lvl w:ilvl="0" w:tplc="4A52A5B6">
      <w:start w:val="1"/>
      <w:numFmt w:val="decimal"/>
      <w:lvlText w:val="%1."/>
      <w:lvlJc w:val="left"/>
      <w:pPr>
        <w:tabs>
          <w:tab w:val="num" w:pos="928"/>
        </w:tabs>
        <w:ind w:left="928" w:hanging="360"/>
      </w:pPr>
      <w:rPr>
        <w:rFonts w:cs="Times New Roman" w:hint="default"/>
      </w:rPr>
    </w:lvl>
    <w:lvl w:ilvl="1" w:tplc="08090019" w:tentative="1">
      <w:start w:val="1"/>
      <w:numFmt w:val="lowerLetter"/>
      <w:lvlText w:val="%2."/>
      <w:lvlJc w:val="left"/>
      <w:pPr>
        <w:tabs>
          <w:tab w:val="num" w:pos="1724"/>
        </w:tabs>
        <w:ind w:left="1724" w:hanging="360"/>
      </w:pPr>
      <w:rPr>
        <w:rFonts w:cs="Times New Roman"/>
      </w:rPr>
    </w:lvl>
    <w:lvl w:ilvl="2" w:tplc="0809001B" w:tentative="1">
      <w:start w:val="1"/>
      <w:numFmt w:val="lowerRoman"/>
      <w:lvlText w:val="%3."/>
      <w:lvlJc w:val="right"/>
      <w:pPr>
        <w:tabs>
          <w:tab w:val="num" w:pos="2444"/>
        </w:tabs>
        <w:ind w:left="2444" w:hanging="180"/>
      </w:pPr>
      <w:rPr>
        <w:rFonts w:cs="Times New Roman"/>
      </w:rPr>
    </w:lvl>
    <w:lvl w:ilvl="3" w:tplc="0809000F" w:tentative="1">
      <w:start w:val="1"/>
      <w:numFmt w:val="decimal"/>
      <w:lvlText w:val="%4."/>
      <w:lvlJc w:val="left"/>
      <w:pPr>
        <w:tabs>
          <w:tab w:val="num" w:pos="3164"/>
        </w:tabs>
        <w:ind w:left="3164" w:hanging="360"/>
      </w:pPr>
      <w:rPr>
        <w:rFonts w:cs="Times New Roman"/>
      </w:rPr>
    </w:lvl>
    <w:lvl w:ilvl="4" w:tplc="08090019" w:tentative="1">
      <w:start w:val="1"/>
      <w:numFmt w:val="lowerLetter"/>
      <w:lvlText w:val="%5."/>
      <w:lvlJc w:val="left"/>
      <w:pPr>
        <w:tabs>
          <w:tab w:val="num" w:pos="3884"/>
        </w:tabs>
        <w:ind w:left="3884" w:hanging="360"/>
      </w:pPr>
      <w:rPr>
        <w:rFonts w:cs="Times New Roman"/>
      </w:rPr>
    </w:lvl>
    <w:lvl w:ilvl="5" w:tplc="0809001B" w:tentative="1">
      <w:start w:val="1"/>
      <w:numFmt w:val="lowerRoman"/>
      <w:lvlText w:val="%6."/>
      <w:lvlJc w:val="right"/>
      <w:pPr>
        <w:tabs>
          <w:tab w:val="num" w:pos="4604"/>
        </w:tabs>
        <w:ind w:left="4604" w:hanging="180"/>
      </w:pPr>
      <w:rPr>
        <w:rFonts w:cs="Times New Roman"/>
      </w:rPr>
    </w:lvl>
    <w:lvl w:ilvl="6" w:tplc="0809000F" w:tentative="1">
      <w:start w:val="1"/>
      <w:numFmt w:val="decimal"/>
      <w:lvlText w:val="%7."/>
      <w:lvlJc w:val="left"/>
      <w:pPr>
        <w:tabs>
          <w:tab w:val="num" w:pos="5324"/>
        </w:tabs>
        <w:ind w:left="5324" w:hanging="360"/>
      </w:pPr>
      <w:rPr>
        <w:rFonts w:cs="Times New Roman"/>
      </w:rPr>
    </w:lvl>
    <w:lvl w:ilvl="7" w:tplc="08090019" w:tentative="1">
      <w:start w:val="1"/>
      <w:numFmt w:val="lowerLetter"/>
      <w:lvlText w:val="%8."/>
      <w:lvlJc w:val="left"/>
      <w:pPr>
        <w:tabs>
          <w:tab w:val="num" w:pos="6044"/>
        </w:tabs>
        <w:ind w:left="6044" w:hanging="360"/>
      </w:pPr>
      <w:rPr>
        <w:rFonts w:cs="Times New Roman"/>
      </w:rPr>
    </w:lvl>
    <w:lvl w:ilvl="8" w:tplc="0809001B" w:tentative="1">
      <w:start w:val="1"/>
      <w:numFmt w:val="lowerRoman"/>
      <w:lvlText w:val="%9."/>
      <w:lvlJc w:val="right"/>
      <w:pPr>
        <w:tabs>
          <w:tab w:val="num" w:pos="6764"/>
        </w:tabs>
        <w:ind w:left="6764" w:hanging="180"/>
      </w:pPr>
      <w:rPr>
        <w:rFonts w:cs="Times New Roman"/>
      </w:rPr>
    </w:lvl>
  </w:abstractNum>
  <w:abstractNum w:abstractNumId="29">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15906AE5"/>
    <w:multiLevelType w:val="hybridMultilevel"/>
    <w:tmpl w:val="B60A28D6"/>
    <w:lvl w:ilvl="0" w:tplc="4A52A5B6">
      <w:start w:val="1"/>
      <w:numFmt w:val="decimal"/>
      <w:lvlText w:val="%1."/>
      <w:lvlJc w:val="left"/>
      <w:pPr>
        <w:tabs>
          <w:tab w:val="num" w:pos="644"/>
        </w:tabs>
        <w:ind w:left="644" w:hanging="360"/>
      </w:pPr>
      <w:rPr>
        <w:rFonts w:cs="Times New Roman" w:hint="default"/>
      </w:rPr>
    </w:lvl>
    <w:lvl w:ilvl="1" w:tplc="08090019" w:tentative="1">
      <w:start w:val="1"/>
      <w:numFmt w:val="lowerLetter"/>
      <w:lvlText w:val="%2."/>
      <w:lvlJc w:val="left"/>
      <w:pPr>
        <w:tabs>
          <w:tab w:val="num" w:pos="1364"/>
        </w:tabs>
        <w:ind w:left="1364" w:hanging="360"/>
      </w:pPr>
      <w:rPr>
        <w:rFonts w:cs="Times New Roman"/>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32">
    <w:nsid w:val="1D89566A"/>
    <w:multiLevelType w:val="hybridMultilevel"/>
    <w:tmpl w:val="4E383E46"/>
    <w:lvl w:ilvl="0" w:tplc="84AE705E">
      <w:start w:val="1"/>
      <w:numFmt w:val="lowerLetter"/>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33">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26135FE6"/>
    <w:multiLevelType w:val="hybridMultilevel"/>
    <w:tmpl w:val="508460F0"/>
    <w:lvl w:ilvl="0" w:tplc="5DB8F1DE">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35">
    <w:nsid w:val="26F07D7B"/>
    <w:multiLevelType w:val="hybridMultilevel"/>
    <w:tmpl w:val="5BB0D718"/>
    <w:lvl w:ilvl="0" w:tplc="0809000F">
      <w:start w:val="1"/>
      <w:numFmt w:val="decimal"/>
      <w:lvlText w:val="%1."/>
      <w:lvlJc w:val="left"/>
      <w:pPr>
        <w:tabs>
          <w:tab w:val="num" w:pos="1004"/>
        </w:tabs>
        <w:ind w:left="1004" w:hanging="360"/>
      </w:pPr>
      <w:rPr>
        <w:rFonts w:cs="Times New Roman"/>
      </w:rPr>
    </w:lvl>
    <w:lvl w:ilvl="1" w:tplc="08090019" w:tentative="1">
      <w:start w:val="1"/>
      <w:numFmt w:val="lowerLetter"/>
      <w:lvlText w:val="%2."/>
      <w:lvlJc w:val="left"/>
      <w:pPr>
        <w:tabs>
          <w:tab w:val="num" w:pos="1724"/>
        </w:tabs>
        <w:ind w:left="1724" w:hanging="360"/>
      </w:pPr>
      <w:rPr>
        <w:rFonts w:cs="Times New Roman"/>
      </w:rPr>
    </w:lvl>
    <w:lvl w:ilvl="2" w:tplc="0809001B" w:tentative="1">
      <w:start w:val="1"/>
      <w:numFmt w:val="lowerRoman"/>
      <w:lvlText w:val="%3."/>
      <w:lvlJc w:val="right"/>
      <w:pPr>
        <w:tabs>
          <w:tab w:val="num" w:pos="2444"/>
        </w:tabs>
        <w:ind w:left="2444" w:hanging="180"/>
      </w:pPr>
      <w:rPr>
        <w:rFonts w:cs="Times New Roman"/>
      </w:rPr>
    </w:lvl>
    <w:lvl w:ilvl="3" w:tplc="0809000F" w:tentative="1">
      <w:start w:val="1"/>
      <w:numFmt w:val="decimal"/>
      <w:lvlText w:val="%4."/>
      <w:lvlJc w:val="left"/>
      <w:pPr>
        <w:tabs>
          <w:tab w:val="num" w:pos="3164"/>
        </w:tabs>
        <w:ind w:left="3164" w:hanging="360"/>
      </w:pPr>
      <w:rPr>
        <w:rFonts w:cs="Times New Roman"/>
      </w:rPr>
    </w:lvl>
    <w:lvl w:ilvl="4" w:tplc="08090019" w:tentative="1">
      <w:start w:val="1"/>
      <w:numFmt w:val="lowerLetter"/>
      <w:lvlText w:val="%5."/>
      <w:lvlJc w:val="left"/>
      <w:pPr>
        <w:tabs>
          <w:tab w:val="num" w:pos="3884"/>
        </w:tabs>
        <w:ind w:left="3884" w:hanging="360"/>
      </w:pPr>
      <w:rPr>
        <w:rFonts w:cs="Times New Roman"/>
      </w:rPr>
    </w:lvl>
    <w:lvl w:ilvl="5" w:tplc="0809001B" w:tentative="1">
      <w:start w:val="1"/>
      <w:numFmt w:val="lowerRoman"/>
      <w:lvlText w:val="%6."/>
      <w:lvlJc w:val="right"/>
      <w:pPr>
        <w:tabs>
          <w:tab w:val="num" w:pos="4604"/>
        </w:tabs>
        <w:ind w:left="4604" w:hanging="180"/>
      </w:pPr>
      <w:rPr>
        <w:rFonts w:cs="Times New Roman"/>
      </w:rPr>
    </w:lvl>
    <w:lvl w:ilvl="6" w:tplc="0809000F" w:tentative="1">
      <w:start w:val="1"/>
      <w:numFmt w:val="decimal"/>
      <w:lvlText w:val="%7."/>
      <w:lvlJc w:val="left"/>
      <w:pPr>
        <w:tabs>
          <w:tab w:val="num" w:pos="5324"/>
        </w:tabs>
        <w:ind w:left="5324" w:hanging="360"/>
      </w:pPr>
      <w:rPr>
        <w:rFonts w:cs="Times New Roman"/>
      </w:rPr>
    </w:lvl>
    <w:lvl w:ilvl="7" w:tplc="08090019" w:tentative="1">
      <w:start w:val="1"/>
      <w:numFmt w:val="lowerLetter"/>
      <w:lvlText w:val="%8."/>
      <w:lvlJc w:val="left"/>
      <w:pPr>
        <w:tabs>
          <w:tab w:val="num" w:pos="6044"/>
        </w:tabs>
        <w:ind w:left="6044" w:hanging="360"/>
      </w:pPr>
      <w:rPr>
        <w:rFonts w:cs="Times New Roman"/>
      </w:rPr>
    </w:lvl>
    <w:lvl w:ilvl="8" w:tplc="0809001B" w:tentative="1">
      <w:start w:val="1"/>
      <w:numFmt w:val="lowerRoman"/>
      <w:lvlText w:val="%9."/>
      <w:lvlJc w:val="right"/>
      <w:pPr>
        <w:tabs>
          <w:tab w:val="num" w:pos="6764"/>
        </w:tabs>
        <w:ind w:left="6764" w:hanging="180"/>
      </w:pPr>
      <w:rPr>
        <w:rFonts w:cs="Times New Roman"/>
      </w:rPr>
    </w:lvl>
  </w:abstractNum>
  <w:abstractNum w:abstractNumId="36">
    <w:nsid w:val="2D880118"/>
    <w:multiLevelType w:val="hybridMultilevel"/>
    <w:tmpl w:val="D088731A"/>
    <w:lvl w:ilvl="0" w:tplc="4A52A5B6">
      <w:start w:val="1"/>
      <w:numFmt w:val="decimal"/>
      <w:lvlText w:val="%1."/>
      <w:lvlJc w:val="left"/>
      <w:pPr>
        <w:tabs>
          <w:tab w:val="num" w:pos="644"/>
        </w:tabs>
        <w:ind w:left="644"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2EC32911"/>
    <w:multiLevelType w:val="hybridMultilevel"/>
    <w:tmpl w:val="FED4C4C0"/>
    <w:lvl w:ilvl="0" w:tplc="10B2B9AE">
      <w:start w:val="1"/>
      <w:numFmt w:val="lowerLetter"/>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38">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6A819BD"/>
    <w:multiLevelType w:val="hybridMultilevel"/>
    <w:tmpl w:val="57720F1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0">
    <w:nsid w:val="72AD30A0"/>
    <w:multiLevelType w:val="hybridMultilevel"/>
    <w:tmpl w:val="32B6D22C"/>
    <w:lvl w:ilvl="0" w:tplc="F65E3510">
      <w:start w:val="21"/>
      <w:numFmt w:val="decimal"/>
      <w:lvlText w:val="%1."/>
      <w:lvlJc w:val="left"/>
      <w:pPr>
        <w:tabs>
          <w:tab w:val="num" w:pos="704"/>
        </w:tabs>
        <w:ind w:left="704" w:hanging="420"/>
      </w:pPr>
      <w:rPr>
        <w:rFonts w:cs="Times New Roman" w:hint="default"/>
      </w:rPr>
    </w:lvl>
    <w:lvl w:ilvl="1" w:tplc="08090019" w:tentative="1">
      <w:start w:val="1"/>
      <w:numFmt w:val="lowerLetter"/>
      <w:lvlText w:val="%2."/>
      <w:lvlJc w:val="left"/>
      <w:pPr>
        <w:tabs>
          <w:tab w:val="num" w:pos="1364"/>
        </w:tabs>
        <w:ind w:left="1364" w:hanging="360"/>
      </w:pPr>
      <w:rPr>
        <w:rFonts w:cs="Times New Roman"/>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41">
    <w:nsid w:val="7E652DC8"/>
    <w:multiLevelType w:val="hybridMultilevel"/>
    <w:tmpl w:val="2572CF0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8"/>
  </w:num>
  <w:num w:numId="28">
    <w:abstractNumId w:val="30"/>
  </w:num>
  <w:num w:numId="29">
    <w:abstractNumId w:val="29"/>
  </w:num>
  <w:num w:numId="30">
    <w:abstractNumId w:val="33"/>
  </w:num>
  <w:num w:numId="31">
    <w:abstractNumId w:val="0"/>
    <w:lvlOverride w:ilvl="0">
      <w:lvl w:ilvl="0">
        <w:numFmt w:val="bullet"/>
        <w:lvlText w:val=""/>
        <w:legacy w:legacy="1" w:legacySpace="0" w:legacyIndent="360"/>
        <w:lvlJc w:val="left"/>
        <w:pPr>
          <w:ind w:hanging="360"/>
        </w:pPr>
        <w:rPr>
          <w:rFonts w:ascii="Symbol" w:hAnsi="Symbol" w:hint="default"/>
        </w:rPr>
      </w:lvl>
    </w:lvlOverride>
  </w:num>
  <w:num w:numId="32">
    <w:abstractNumId w:val="35"/>
  </w:num>
  <w:num w:numId="33">
    <w:abstractNumId w:val="31"/>
  </w:num>
  <w:num w:numId="34">
    <w:abstractNumId w:val="28"/>
  </w:num>
  <w:num w:numId="35">
    <w:abstractNumId w:val="36"/>
  </w:num>
  <w:num w:numId="36">
    <w:abstractNumId w:val="40"/>
  </w:num>
  <w:num w:numId="37">
    <w:abstractNumId w:val="27"/>
  </w:num>
  <w:num w:numId="38">
    <w:abstractNumId w:val="32"/>
  </w:num>
  <w:num w:numId="39">
    <w:abstractNumId w:val="37"/>
  </w:num>
  <w:num w:numId="40">
    <w:abstractNumId w:val="39"/>
  </w:num>
  <w:num w:numId="41">
    <w:abstractNumId w:val="41"/>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6A1583"/>
    <w:rsid w:val="00001274"/>
    <w:rsid w:val="0000287D"/>
    <w:rsid w:val="00003B9B"/>
    <w:rsid w:val="0001284F"/>
    <w:rsid w:val="00021ECF"/>
    <w:rsid w:val="00030E59"/>
    <w:rsid w:val="00034964"/>
    <w:rsid w:val="00036B32"/>
    <w:rsid w:val="000409ED"/>
    <w:rsid w:val="0006016A"/>
    <w:rsid w:val="00065477"/>
    <w:rsid w:val="0006750B"/>
    <w:rsid w:val="00071260"/>
    <w:rsid w:val="000B3E45"/>
    <w:rsid w:val="000B76C2"/>
    <w:rsid w:val="000D00E0"/>
    <w:rsid w:val="000D1202"/>
    <w:rsid w:val="000E6F0A"/>
    <w:rsid w:val="0010079C"/>
    <w:rsid w:val="001111AE"/>
    <w:rsid w:val="001113A9"/>
    <w:rsid w:val="00111B24"/>
    <w:rsid w:val="00113EC8"/>
    <w:rsid w:val="001209A2"/>
    <w:rsid w:val="0012104D"/>
    <w:rsid w:val="0013395D"/>
    <w:rsid w:val="00140C26"/>
    <w:rsid w:val="00152020"/>
    <w:rsid w:val="0016356D"/>
    <w:rsid w:val="00164678"/>
    <w:rsid w:val="001738C1"/>
    <w:rsid w:val="0018409D"/>
    <w:rsid w:val="001B6522"/>
    <w:rsid w:val="001C034D"/>
    <w:rsid w:val="001C60D3"/>
    <w:rsid w:val="001D1CDC"/>
    <w:rsid w:val="001D3391"/>
    <w:rsid w:val="001D3C3E"/>
    <w:rsid w:val="001D65DB"/>
    <w:rsid w:val="001E1C04"/>
    <w:rsid w:val="001E2E7F"/>
    <w:rsid w:val="001E606D"/>
    <w:rsid w:val="001E7B40"/>
    <w:rsid w:val="0020037B"/>
    <w:rsid w:val="00201DD4"/>
    <w:rsid w:val="00203093"/>
    <w:rsid w:val="002116E1"/>
    <w:rsid w:val="0021431B"/>
    <w:rsid w:val="00226AAC"/>
    <w:rsid w:val="00236399"/>
    <w:rsid w:val="00265345"/>
    <w:rsid w:val="00286429"/>
    <w:rsid w:val="0029238F"/>
    <w:rsid w:val="00293121"/>
    <w:rsid w:val="002A5930"/>
    <w:rsid w:val="002A5E19"/>
    <w:rsid w:val="002B405E"/>
    <w:rsid w:val="002C1960"/>
    <w:rsid w:val="002C6607"/>
    <w:rsid w:val="002D3376"/>
    <w:rsid w:val="002F2E08"/>
    <w:rsid w:val="00311DC9"/>
    <w:rsid w:val="00321AA4"/>
    <w:rsid w:val="003301C0"/>
    <w:rsid w:val="00331DE3"/>
    <w:rsid w:val="003403E6"/>
    <w:rsid w:val="003479A1"/>
    <w:rsid w:val="0035671A"/>
    <w:rsid w:val="00361FA0"/>
    <w:rsid w:val="00362F0A"/>
    <w:rsid w:val="00375879"/>
    <w:rsid w:val="00395DF8"/>
    <w:rsid w:val="0039698B"/>
    <w:rsid w:val="003A4AA0"/>
    <w:rsid w:val="003A4D6E"/>
    <w:rsid w:val="003B554B"/>
    <w:rsid w:val="003C611E"/>
    <w:rsid w:val="003D05B6"/>
    <w:rsid w:val="003D56FD"/>
    <w:rsid w:val="003D7652"/>
    <w:rsid w:val="003E20A9"/>
    <w:rsid w:val="003E2A27"/>
    <w:rsid w:val="003E3386"/>
    <w:rsid w:val="003F1149"/>
    <w:rsid w:val="004008A2"/>
    <w:rsid w:val="00403FD1"/>
    <w:rsid w:val="00406131"/>
    <w:rsid w:val="004127FB"/>
    <w:rsid w:val="00416ECF"/>
    <w:rsid w:val="0043250C"/>
    <w:rsid w:val="00434D57"/>
    <w:rsid w:val="00450F3C"/>
    <w:rsid w:val="00454F08"/>
    <w:rsid w:val="00465721"/>
    <w:rsid w:val="004668A3"/>
    <w:rsid w:val="00474FB2"/>
    <w:rsid w:val="00492B07"/>
    <w:rsid w:val="004A6DC0"/>
    <w:rsid w:val="004B01EE"/>
    <w:rsid w:val="004B2A95"/>
    <w:rsid w:val="004B7DBA"/>
    <w:rsid w:val="004C1967"/>
    <w:rsid w:val="004C4140"/>
    <w:rsid w:val="004D029F"/>
    <w:rsid w:val="004D7497"/>
    <w:rsid w:val="004E4C39"/>
    <w:rsid w:val="004E50C2"/>
    <w:rsid w:val="004E5437"/>
    <w:rsid w:val="00505A18"/>
    <w:rsid w:val="005067DE"/>
    <w:rsid w:val="005100BA"/>
    <w:rsid w:val="0051304B"/>
    <w:rsid w:val="00527C24"/>
    <w:rsid w:val="00531FAC"/>
    <w:rsid w:val="00533C5A"/>
    <w:rsid w:val="00534142"/>
    <w:rsid w:val="005400B1"/>
    <w:rsid w:val="00560CD6"/>
    <w:rsid w:val="00561A4D"/>
    <w:rsid w:val="00564E88"/>
    <w:rsid w:val="00577849"/>
    <w:rsid w:val="0058013B"/>
    <w:rsid w:val="00580448"/>
    <w:rsid w:val="005926F2"/>
    <w:rsid w:val="00593AEF"/>
    <w:rsid w:val="00594139"/>
    <w:rsid w:val="005A12A8"/>
    <w:rsid w:val="005A3F9D"/>
    <w:rsid w:val="005B13FB"/>
    <w:rsid w:val="005D4CA5"/>
    <w:rsid w:val="005D7F42"/>
    <w:rsid w:val="005F1DFB"/>
    <w:rsid w:val="005F5623"/>
    <w:rsid w:val="005F74C4"/>
    <w:rsid w:val="006043DD"/>
    <w:rsid w:val="00607BED"/>
    <w:rsid w:val="006158C3"/>
    <w:rsid w:val="0061654D"/>
    <w:rsid w:val="00617BD2"/>
    <w:rsid w:val="00620ED2"/>
    <w:rsid w:val="00650C52"/>
    <w:rsid w:val="00650CA0"/>
    <w:rsid w:val="0065331F"/>
    <w:rsid w:val="00654F56"/>
    <w:rsid w:val="00665683"/>
    <w:rsid w:val="00672155"/>
    <w:rsid w:val="006851DC"/>
    <w:rsid w:val="006A1583"/>
    <w:rsid w:val="006A4856"/>
    <w:rsid w:val="006A7DEA"/>
    <w:rsid w:val="006B13A4"/>
    <w:rsid w:val="006B1404"/>
    <w:rsid w:val="006C39C2"/>
    <w:rsid w:val="006D50C0"/>
    <w:rsid w:val="006D78C0"/>
    <w:rsid w:val="006E1EEB"/>
    <w:rsid w:val="006E469C"/>
    <w:rsid w:val="0071429C"/>
    <w:rsid w:val="0071777D"/>
    <w:rsid w:val="0073062A"/>
    <w:rsid w:val="00730739"/>
    <w:rsid w:val="00733C1A"/>
    <w:rsid w:val="00744CD3"/>
    <w:rsid w:val="00746B08"/>
    <w:rsid w:val="007611B2"/>
    <w:rsid w:val="0077009E"/>
    <w:rsid w:val="007825B0"/>
    <w:rsid w:val="00786193"/>
    <w:rsid w:val="007B64DF"/>
    <w:rsid w:val="007D286E"/>
    <w:rsid w:val="007E0F9E"/>
    <w:rsid w:val="007E366D"/>
    <w:rsid w:val="007F1B5E"/>
    <w:rsid w:val="007F260E"/>
    <w:rsid w:val="007F4CAB"/>
    <w:rsid w:val="00826197"/>
    <w:rsid w:val="008418D4"/>
    <w:rsid w:val="00842BB2"/>
    <w:rsid w:val="00843337"/>
    <w:rsid w:val="0084496A"/>
    <w:rsid w:val="008546F8"/>
    <w:rsid w:val="00865889"/>
    <w:rsid w:val="008835B2"/>
    <w:rsid w:val="00886DC3"/>
    <w:rsid w:val="00886EFB"/>
    <w:rsid w:val="0088725C"/>
    <w:rsid w:val="008A6648"/>
    <w:rsid w:val="008D20F5"/>
    <w:rsid w:val="008E017E"/>
    <w:rsid w:val="008E1332"/>
    <w:rsid w:val="008E3929"/>
    <w:rsid w:val="008F3D1E"/>
    <w:rsid w:val="008F477B"/>
    <w:rsid w:val="008F793F"/>
    <w:rsid w:val="009102C8"/>
    <w:rsid w:val="00913524"/>
    <w:rsid w:val="009176B7"/>
    <w:rsid w:val="00921D12"/>
    <w:rsid w:val="00924671"/>
    <w:rsid w:val="00932B88"/>
    <w:rsid w:val="0094368C"/>
    <w:rsid w:val="00960FA5"/>
    <w:rsid w:val="00963642"/>
    <w:rsid w:val="0099134C"/>
    <w:rsid w:val="009947F3"/>
    <w:rsid w:val="009A347C"/>
    <w:rsid w:val="009B2BF4"/>
    <w:rsid w:val="009C2BB8"/>
    <w:rsid w:val="009D33A1"/>
    <w:rsid w:val="009E335D"/>
    <w:rsid w:val="009F3248"/>
    <w:rsid w:val="009F4216"/>
    <w:rsid w:val="009F4A26"/>
    <w:rsid w:val="00A04F2C"/>
    <w:rsid w:val="00A05750"/>
    <w:rsid w:val="00A25DEE"/>
    <w:rsid w:val="00A336A0"/>
    <w:rsid w:val="00A374F1"/>
    <w:rsid w:val="00A50FE0"/>
    <w:rsid w:val="00A52669"/>
    <w:rsid w:val="00A53A9E"/>
    <w:rsid w:val="00A547F9"/>
    <w:rsid w:val="00A5675F"/>
    <w:rsid w:val="00A61045"/>
    <w:rsid w:val="00A77260"/>
    <w:rsid w:val="00A82EA3"/>
    <w:rsid w:val="00A856FB"/>
    <w:rsid w:val="00A914D0"/>
    <w:rsid w:val="00AA1E82"/>
    <w:rsid w:val="00AA679C"/>
    <w:rsid w:val="00AA695B"/>
    <w:rsid w:val="00AC10B3"/>
    <w:rsid w:val="00AC4ADE"/>
    <w:rsid w:val="00AC4F63"/>
    <w:rsid w:val="00AC5464"/>
    <w:rsid w:val="00AE70EF"/>
    <w:rsid w:val="00AF2880"/>
    <w:rsid w:val="00AF2BF3"/>
    <w:rsid w:val="00AF346B"/>
    <w:rsid w:val="00AF3A84"/>
    <w:rsid w:val="00AF3DC9"/>
    <w:rsid w:val="00AF46E5"/>
    <w:rsid w:val="00B0671A"/>
    <w:rsid w:val="00B27FCF"/>
    <w:rsid w:val="00B35869"/>
    <w:rsid w:val="00B41887"/>
    <w:rsid w:val="00B42474"/>
    <w:rsid w:val="00B55409"/>
    <w:rsid w:val="00BA069C"/>
    <w:rsid w:val="00BA5FF0"/>
    <w:rsid w:val="00BC3573"/>
    <w:rsid w:val="00BC728E"/>
    <w:rsid w:val="00BD5CA9"/>
    <w:rsid w:val="00C06A10"/>
    <w:rsid w:val="00C1014F"/>
    <w:rsid w:val="00C12533"/>
    <w:rsid w:val="00C208E4"/>
    <w:rsid w:val="00C22688"/>
    <w:rsid w:val="00C5100C"/>
    <w:rsid w:val="00C6354D"/>
    <w:rsid w:val="00C70258"/>
    <w:rsid w:val="00C7157B"/>
    <w:rsid w:val="00C75A3F"/>
    <w:rsid w:val="00C77F51"/>
    <w:rsid w:val="00C81B7B"/>
    <w:rsid w:val="00C91530"/>
    <w:rsid w:val="00CB2BDA"/>
    <w:rsid w:val="00CB3A64"/>
    <w:rsid w:val="00CB5AF0"/>
    <w:rsid w:val="00CB6996"/>
    <w:rsid w:val="00CC08EB"/>
    <w:rsid w:val="00CC4E2F"/>
    <w:rsid w:val="00CD33B8"/>
    <w:rsid w:val="00CD4C95"/>
    <w:rsid w:val="00CD710A"/>
    <w:rsid w:val="00CE271C"/>
    <w:rsid w:val="00CE338B"/>
    <w:rsid w:val="00CF1CED"/>
    <w:rsid w:val="00CF470B"/>
    <w:rsid w:val="00CF5CB2"/>
    <w:rsid w:val="00CF76D7"/>
    <w:rsid w:val="00D079E8"/>
    <w:rsid w:val="00D15690"/>
    <w:rsid w:val="00D22081"/>
    <w:rsid w:val="00D27C2B"/>
    <w:rsid w:val="00D30AC7"/>
    <w:rsid w:val="00D3230A"/>
    <w:rsid w:val="00D46BFA"/>
    <w:rsid w:val="00D53FDB"/>
    <w:rsid w:val="00D56375"/>
    <w:rsid w:val="00D60274"/>
    <w:rsid w:val="00D63B22"/>
    <w:rsid w:val="00D74BBC"/>
    <w:rsid w:val="00D77188"/>
    <w:rsid w:val="00D9125C"/>
    <w:rsid w:val="00D934F1"/>
    <w:rsid w:val="00D967AD"/>
    <w:rsid w:val="00DA7338"/>
    <w:rsid w:val="00DC1A6C"/>
    <w:rsid w:val="00DC2049"/>
    <w:rsid w:val="00DD7446"/>
    <w:rsid w:val="00DE632E"/>
    <w:rsid w:val="00DE7660"/>
    <w:rsid w:val="00E04CA2"/>
    <w:rsid w:val="00E05EAF"/>
    <w:rsid w:val="00E1322F"/>
    <w:rsid w:val="00E21A00"/>
    <w:rsid w:val="00E23824"/>
    <w:rsid w:val="00E26B57"/>
    <w:rsid w:val="00E575D1"/>
    <w:rsid w:val="00E7122D"/>
    <w:rsid w:val="00E7201E"/>
    <w:rsid w:val="00E927F4"/>
    <w:rsid w:val="00E970A5"/>
    <w:rsid w:val="00EA36E6"/>
    <w:rsid w:val="00EA5A37"/>
    <w:rsid w:val="00EA6D5D"/>
    <w:rsid w:val="00EB053C"/>
    <w:rsid w:val="00EB3EA6"/>
    <w:rsid w:val="00EC0A2F"/>
    <w:rsid w:val="00ED1ED4"/>
    <w:rsid w:val="00ED7F16"/>
    <w:rsid w:val="00EE4998"/>
    <w:rsid w:val="00EF784A"/>
    <w:rsid w:val="00F01EEE"/>
    <w:rsid w:val="00F041AF"/>
    <w:rsid w:val="00F04931"/>
    <w:rsid w:val="00F25DFD"/>
    <w:rsid w:val="00F274BD"/>
    <w:rsid w:val="00F3325F"/>
    <w:rsid w:val="00F3707E"/>
    <w:rsid w:val="00F47035"/>
    <w:rsid w:val="00F63479"/>
    <w:rsid w:val="00F6358B"/>
    <w:rsid w:val="00F72879"/>
    <w:rsid w:val="00F77B1F"/>
    <w:rsid w:val="00F83B91"/>
    <w:rsid w:val="00F93C3A"/>
    <w:rsid w:val="00FB21DC"/>
    <w:rsid w:val="00FC5AE6"/>
    <w:rsid w:val="00FE3EBB"/>
    <w:rsid w:val="00FF0FFC"/>
    <w:rsid w:val="00FF56F9"/>
    <w:rsid w:val="00FF5EC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0B"/>
    <w:pPr>
      <w:widowControl w:val="0"/>
      <w:spacing w:before="100" w:after="100"/>
    </w:pPr>
    <w:rPr>
      <w:sz w:val="24"/>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uiPriority w:val="99"/>
    <w:rsid w:val="0006750B"/>
    <w:pPr>
      <w:spacing w:before="0" w:after="0"/>
    </w:pPr>
  </w:style>
  <w:style w:type="paragraph" w:customStyle="1" w:styleId="DefinitionList">
    <w:name w:val="Definition List"/>
    <w:basedOn w:val="Normal"/>
    <w:next w:val="DefinitionTerm"/>
    <w:uiPriority w:val="99"/>
    <w:rsid w:val="0006750B"/>
    <w:pPr>
      <w:spacing w:before="0" w:after="0"/>
      <w:ind w:left="360"/>
    </w:pPr>
  </w:style>
  <w:style w:type="character" w:customStyle="1" w:styleId="Definition">
    <w:name w:val="Definition"/>
    <w:uiPriority w:val="99"/>
    <w:rsid w:val="0006750B"/>
    <w:rPr>
      <w:i/>
    </w:rPr>
  </w:style>
  <w:style w:type="paragraph" w:customStyle="1" w:styleId="H1">
    <w:name w:val="H1"/>
    <w:basedOn w:val="Normal"/>
    <w:next w:val="Normal"/>
    <w:uiPriority w:val="99"/>
    <w:rsid w:val="0006750B"/>
    <w:pPr>
      <w:keepNext/>
      <w:outlineLvl w:val="1"/>
    </w:pPr>
    <w:rPr>
      <w:b/>
      <w:kern w:val="36"/>
      <w:sz w:val="48"/>
    </w:rPr>
  </w:style>
  <w:style w:type="paragraph" w:customStyle="1" w:styleId="H2">
    <w:name w:val="H2"/>
    <w:basedOn w:val="Normal"/>
    <w:next w:val="Normal"/>
    <w:uiPriority w:val="99"/>
    <w:rsid w:val="0006750B"/>
    <w:pPr>
      <w:keepNext/>
      <w:outlineLvl w:val="2"/>
    </w:pPr>
    <w:rPr>
      <w:b/>
      <w:sz w:val="36"/>
    </w:rPr>
  </w:style>
  <w:style w:type="paragraph" w:customStyle="1" w:styleId="H3">
    <w:name w:val="H3"/>
    <w:basedOn w:val="Normal"/>
    <w:next w:val="Normal"/>
    <w:uiPriority w:val="99"/>
    <w:rsid w:val="0006750B"/>
    <w:pPr>
      <w:keepNext/>
      <w:outlineLvl w:val="3"/>
    </w:pPr>
    <w:rPr>
      <w:b/>
      <w:sz w:val="28"/>
    </w:rPr>
  </w:style>
  <w:style w:type="paragraph" w:customStyle="1" w:styleId="H4">
    <w:name w:val="H4"/>
    <w:basedOn w:val="Normal"/>
    <w:next w:val="Normal"/>
    <w:uiPriority w:val="99"/>
    <w:rsid w:val="0006750B"/>
    <w:pPr>
      <w:keepNext/>
      <w:outlineLvl w:val="4"/>
    </w:pPr>
    <w:rPr>
      <w:b/>
    </w:rPr>
  </w:style>
  <w:style w:type="paragraph" w:customStyle="1" w:styleId="H5">
    <w:name w:val="H5"/>
    <w:basedOn w:val="Normal"/>
    <w:next w:val="Normal"/>
    <w:uiPriority w:val="99"/>
    <w:rsid w:val="0006750B"/>
    <w:pPr>
      <w:keepNext/>
      <w:outlineLvl w:val="5"/>
    </w:pPr>
    <w:rPr>
      <w:b/>
      <w:sz w:val="20"/>
    </w:rPr>
  </w:style>
  <w:style w:type="paragraph" w:customStyle="1" w:styleId="H6">
    <w:name w:val="H6"/>
    <w:basedOn w:val="Normal"/>
    <w:next w:val="Normal"/>
    <w:uiPriority w:val="99"/>
    <w:rsid w:val="0006750B"/>
    <w:pPr>
      <w:keepNext/>
      <w:outlineLvl w:val="6"/>
    </w:pPr>
    <w:rPr>
      <w:b/>
      <w:sz w:val="16"/>
    </w:rPr>
  </w:style>
  <w:style w:type="paragraph" w:customStyle="1" w:styleId="Address">
    <w:name w:val="Address"/>
    <w:basedOn w:val="Normal"/>
    <w:next w:val="Normal"/>
    <w:uiPriority w:val="99"/>
    <w:rsid w:val="0006750B"/>
    <w:pPr>
      <w:spacing w:before="0" w:after="0"/>
    </w:pPr>
    <w:rPr>
      <w:i/>
    </w:rPr>
  </w:style>
  <w:style w:type="paragraph" w:customStyle="1" w:styleId="Blockquote">
    <w:name w:val="Blockquote"/>
    <w:basedOn w:val="Normal"/>
    <w:uiPriority w:val="99"/>
    <w:rsid w:val="0006750B"/>
    <w:pPr>
      <w:ind w:left="360" w:right="360"/>
    </w:pPr>
  </w:style>
  <w:style w:type="character" w:customStyle="1" w:styleId="CITE">
    <w:name w:val="CITE"/>
    <w:uiPriority w:val="99"/>
    <w:rsid w:val="0006750B"/>
    <w:rPr>
      <w:i/>
    </w:rPr>
  </w:style>
  <w:style w:type="character" w:customStyle="1" w:styleId="CODE">
    <w:name w:val="CODE"/>
    <w:uiPriority w:val="99"/>
    <w:rsid w:val="0006750B"/>
    <w:rPr>
      <w:rFonts w:ascii="Courier New" w:hAnsi="Courier New"/>
      <w:sz w:val="20"/>
    </w:rPr>
  </w:style>
  <w:style w:type="character" w:styleId="Emphasis">
    <w:name w:val="Emphasis"/>
    <w:basedOn w:val="DefaultParagraphFont"/>
    <w:uiPriority w:val="99"/>
    <w:qFormat/>
    <w:rsid w:val="0006750B"/>
    <w:rPr>
      <w:rFonts w:cs="Times New Roman"/>
      <w:i/>
    </w:rPr>
  </w:style>
  <w:style w:type="character" w:styleId="Hyperlink">
    <w:name w:val="Hyperlink"/>
    <w:basedOn w:val="DefaultParagraphFont"/>
    <w:uiPriority w:val="99"/>
    <w:rsid w:val="0006750B"/>
    <w:rPr>
      <w:rFonts w:cs="Times New Roman"/>
      <w:color w:val="0000FF"/>
      <w:u w:val="single"/>
    </w:rPr>
  </w:style>
  <w:style w:type="character" w:styleId="FollowedHyperlink">
    <w:name w:val="FollowedHyperlink"/>
    <w:basedOn w:val="DefaultParagraphFont"/>
    <w:uiPriority w:val="99"/>
    <w:rsid w:val="0006750B"/>
    <w:rPr>
      <w:rFonts w:cs="Times New Roman"/>
      <w:color w:val="800080"/>
      <w:u w:val="single"/>
    </w:rPr>
  </w:style>
  <w:style w:type="character" w:customStyle="1" w:styleId="Keyboard">
    <w:name w:val="Keyboard"/>
    <w:uiPriority w:val="99"/>
    <w:rsid w:val="0006750B"/>
    <w:rPr>
      <w:rFonts w:ascii="Courier New" w:hAnsi="Courier New"/>
      <w:b/>
      <w:sz w:val="20"/>
    </w:rPr>
  </w:style>
  <w:style w:type="paragraph" w:customStyle="1" w:styleId="Preformatted">
    <w:name w:val="Preformatted"/>
    <w:basedOn w:val="Normal"/>
    <w:uiPriority w:val="99"/>
    <w:rsid w:val="0006750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basedOn w:val="Normal"/>
    <w:next w:val="Normal"/>
    <w:link w:val="z-BottomofFormChar"/>
    <w:hidden/>
    <w:uiPriority w:val="99"/>
    <w:rsid w:val="0006750B"/>
    <w:pPr>
      <w:pBdr>
        <w:top w:val="double" w:sz="2" w:space="0" w:color="000000"/>
      </w:pBdr>
      <w:spacing w:before="0" w:after="0"/>
      <w:jc w:val="center"/>
    </w:pPr>
    <w:rPr>
      <w:rFonts w:ascii="Arial" w:hAnsi="Arial"/>
      <w:vanish/>
      <w:sz w:val="16"/>
    </w:rPr>
  </w:style>
  <w:style w:type="character" w:customStyle="1" w:styleId="z-BottomofFormChar">
    <w:name w:val="z-Bottom of Form Char"/>
    <w:basedOn w:val="DefaultParagraphFont"/>
    <w:link w:val="z-BottomofForm"/>
    <w:uiPriority w:val="99"/>
    <w:semiHidden/>
    <w:rsid w:val="009D304E"/>
    <w:rPr>
      <w:rFonts w:ascii="Arial" w:hAnsi="Arial" w:cs="Arial"/>
      <w:vanish/>
      <w:sz w:val="16"/>
      <w:szCs w:val="16"/>
      <w:lang w:val="en-US" w:eastAsia="en-US"/>
    </w:rPr>
  </w:style>
  <w:style w:type="paragraph" w:styleId="z-TopofForm">
    <w:name w:val="HTML Top of Form"/>
    <w:basedOn w:val="Normal"/>
    <w:next w:val="Normal"/>
    <w:link w:val="z-TopofFormChar"/>
    <w:hidden/>
    <w:uiPriority w:val="99"/>
    <w:rsid w:val="0006750B"/>
    <w:pPr>
      <w:pBdr>
        <w:bottom w:val="double" w:sz="2" w:space="0" w:color="000000"/>
      </w:pBdr>
      <w:spacing w:before="0" w:after="0"/>
      <w:jc w:val="center"/>
    </w:pPr>
    <w:rPr>
      <w:rFonts w:ascii="Arial" w:hAnsi="Arial"/>
      <w:vanish/>
      <w:sz w:val="16"/>
    </w:rPr>
  </w:style>
  <w:style w:type="character" w:customStyle="1" w:styleId="z-TopofFormChar">
    <w:name w:val="z-Top of Form Char"/>
    <w:basedOn w:val="DefaultParagraphFont"/>
    <w:link w:val="z-TopofForm"/>
    <w:uiPriority w:val="99"/>
    <w:semiHidden/>
    <w:rsid w:val="009D304E"/>
    <w:rPr>
      <w:rFonts w:ascii="Arial" w:hAnsi="Arial" w:cs="Arial"/>
      <w:vanish/>
      <w:sz w:val="16"/>
      <w:szCs w:val="16"/>
      <w:lang w:val="en-US" w:eastAsia="en-US"/>
    </w:rPr>
  </w:style>
  <w:style w:type="character" w:customStyle="1" w:styleId="Sample">
    <w:name w:val="Sample"/>
    <w:uiPriority w:val="99"/>
    <w:rsid w:val="0006750B"/>
    <w:rPr>
      <w:rFonts w:ascii="Courier New" w:hAnsi="Courier New"/>
    </w:rPr>
  </w:style>
  <w:style w:type="character" w:styleId="Strong">
    <w:name w:val="Strong"/>
    <w:basedOn w:val="DefaultParagraphFont"/>
    <w:uiPriority w:val="99"/>
    <w:qFormat/>
    <w:rsid w:val="0006750B"/>
    <w:rPr>
      <w:rFonts w:cs="Times New Roman"/>
      <w:b/>
    </w:rPr>
  </w:style>
  <w:style w:type="character" w:customStyle="1" w:styleId="Typewriter">
    <w:name w:val="Typewriter"/>
    <w:uiPriority w:val="99"/>
    <w:rsid w:val="0006750B"/>
    <w:rPr>
      <w:rFonts w:ascii="Courier New" w:hAnsi="Courier New"/>
      <w:sz w:val="20"/>
    </w:rPr>
  </w:style>
  <w:style w:type="character" w:customStyle="1" w:styleId="Variable">
    <w:name w:val="Variable"/>
    <w:uiPriority w:val="99"/>
    <w:rsid w:val="0006750B"/>
    <w:rPr>
      <w:i/>
    </w:rPr>
  </w:style>
  <w:style w:type="character" w:customStyle="1" w:styleId="HTMLMarkup">
    <w:name w:val="HTML Markup"/>
    <w:uiPriority w:val="99"/>
    <w:rsid w:val="0006750B"/>
    <w:rPr>
      <w:vanish/>
      <w:color w:val="FF0000"/>
    </w:rPr>
  </w:style>
  <w:style w:type="character" w:customStyle="1" w:styleId="Comment">
    <w:name w:val="Comment"/>
    <w:uiPriority w:val="99"/>
    <w:rsid w:val="0006750B"/>
    <w:rPr>
      <w:vanish/>
    </w:rPr>
  </w:style>
  <w:style w:type="paragraph" w:styleId="DocumentMap">
    <w:name w:val="Document Map"/>
    <w:basedOn w:val="Normal"/>
    <w:link w:val="DocumentMapChar"/>
    <w:uiPriority w:val="99"/>
    <w:semiHidden/>
    <w:rsid w:val="0006750B"/>
    <w:pPr>
      <w:shd w:val="clear" w:color="auto" w:fill="000080"/>
    </w:pPr>
  </w:style>
  <w:style w:type="character" w:customStyle="1" w:styleId="DocumentMapChar">
    <w:name w:val="Document Map Char"/>
    <w:basedOn w:val="DefaultParagraphFont"/>
    <w:link w:val="DocumentMap"/>
    <w:uiPriority w:val="99"/>
    <w:semiHidden/>
    <w:rsid w:val="009D304E"/>
    <w:rPr>
      <w:sz w:val="0"/>
      <w:szCs w:val="0"/>
      <w:lang w:val="en-US" w:eastAsia="en-US"/>
    </w:rPr>
  </w:style>
  <w:style w:type="paragraph" w:styleId="Header">
    <w:name w:val="header"/>
    <w:basedOn w:val="Normal"/>
    <w:link w:val="HeaderChar"/>
    <w:uiPriority w:val="99"/>
    <w:rsid w:val="00564E88"/>
    <w:pPr>
      <w:tabs>
        <w:tab w:val="center" w:pos="4536"/>
        <w:tab w:val="right" w:pos="9072"/>
      </w:tabs>
    </w:pPr>
  </w:style>
  <w:style w:type="character" w:customStyle="1" w:styleId="HeaderChar">
    <w:name w:val="Header Char"/>
    <w:basedOn w:val="DefaultParagraphFont"/>
    <w:link w:val="Header"/>
    <w:uiPriority w:val="99"/>
    <w:semiHidden/>
    <w:rsid w:val="009D304E"/>
    <w:rPr>
      <w:sz w:val="24"/>
      <w:szCs w:val="20"/>
      <w:lang w:val="en-US" w:eastAsia="en-US"/>
    </w:rPr>
  </w:style>
  <w:style w:type="paragraph" w:styleId="Footer">
    <w:name w:val="footer"/>
    <w:basedOn w:val="Normal"/>
    <w:link w:val="FooterChar"/>
    <w:uiPriority w:val="99"/>
    <w:rsid w:val="00564E88"/>
    <w:pPr>
      <w:tabs>
        <w:tab w:val="center" w:pos="4536"/>
        <w:tab w:val="right" w:pos="9072"/>
      </w:tabs>
    </w:pPr>
  </w:style>
  <w:style w:type="character" w:customStyle="1" w:styleId="FooterChar">
    <w:name w:val="Footer Char"/>
    <w:basedOn w:val="DefaultParagraphFont"/>
    <w:link w:val="Footer"/>
    <w:uiPriority w:val="99"/>
    <w:semiHidden/>
    <w:rsid w:val="009D304E"/>
    <w:rPr>
      <w:sz w:val="24"/>
      <w:szCs w:val="20"/>
      <w:lang w:val="en-US" w:eastAsia="en-US"/>
    </w:rPr>
  </w:style>
  <w:style w:type="character" w:styleId="PageNumber">
    <w:name w:val="page number"/>
    <w:basedOn w:val="DefaultParagraphFont"/>
    <w:uiPriority w:val="99"/>
    <w:rsid w:val="00AA679C"/>
    <w:rPr>
      <w:rFonts w:cs="Times New Roman"/>
    </w:rPr>
  </w:style>
  <w:style w:type="paragraph" w:styleId="BalloonText">
    <w:name w:val="Balloon Text"/>
    <w:basedOn w:val="Normal"/>
    <w:link w:val="BalloonTextChar"/>
    <w:uiPriority w:val="99"/>
    <w:semiHidden/>
    <w:rsid w:val="00F274BD"/>
    <w:rPr>
      <w:rFonts w:ascii="Tahoma" w:hAnsi="Tahoma" w:cs="Tahoma"/>
      <w:sz w:val="16"/>
      <w:szCs w:val="16"/>
    </w:rPr>
  </w:style>
  <w:style w:type="character" w:customStyle="1" w:styleId="BalloonTextChar">
    <w:name w:val="Balloon Text Char"/>
    <w:basedOn w:val="DefaultParagraphFont"/>
    <w:link w:val="BalloonText"/>
    <w:uiPriority w:val="99"/>
    <w:semiHidden/>
    <w:rsid w:val="009D304E"/>
    <w:rPr>
      <w:sz w:val="0"/>
      <w:szCs w:val="0"/>
      <w:lang w:val="en-US" w:eastAsia="en-US"/>
    </w:rPr>
  </w:style>
</w:styles>
</file>

<file path=word/webSettings.xml><?xml version="1.0" encoding="utf-8"?>
<w:webSettings xmlns:r="http://schemas.openxmlformats.org/officeDocument/2006/relationships" xmlns:w="http://schemas.openxmlformats.org/wordprocessingml/2006/main">
  <w:divs>
    <w:div w:id="1565948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uropeaid/online-services/index.cfm?do=publi.welcome" TargetMode="External"/><Relationship Id="rId3" Type="http://schemas.openxmlformats.org/officeDocument/2006/relationships/settings" Target="settings.xml"/><Relationship Id="rId7" Type="http://schemas.openxmlformats.org/officeDocument/2006/relationships/hyperlink" Target="https://webgate.ec.europa.eu/europeaid/online-services/index.cfm?do=publi.welc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1432</Words>
  <Characters>8165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cp:keywords/>
  <dc:description/>
  <cp:lastModifiedBy>TCMhaskovo04</cp:lastModifiedBy>
  <cp:revision>2</cp:revision>
  <cp:lastPrinted>2013-06-10T11:10:00Z</cp:lastPrinted>
  <dcterms:created xsi:type="dcterms:W3CDTF">2014-03-19T11:21:00Z</dcterms:created>
  <dcterms:modified xsi:type="dcterms:W3CDTF">2014-03-19T11:21:00Z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-1612957816</vt:i4>
  </property>
  <property fmtid="{D5CDD505-2E9C-101B-9397-08002B2CF9AE}" pid="4" name="Checked by">
    <vt:lpwstr>duboile</vt:lpwstr>
  </property>
  <property fmtid="{D5CDD505-2E9C-101B-9397-08002B2CF9AE}" pid="5" name="_PreviousAdHocReviewCycleID">
    <vt:i4>-238929066</vt:i4>
  </property>
  <property fmtid="{D5CDD505-2E9C-101B-9397-08002B2CF9AE}" pid="6" name="_ReviewingToolsShownOnce">
    <vt:lpwstr/>
  </property>
</Properties>
</file>